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1C7EB" w14:textId="77777777" w:rsidR="001A3FDB" w:rsidRPr="002E70B6" w:rsidRDefault="001A3FDB" w:rsidP="002E70B6">
      <w:pPr>
        <w:spacing w:before="30" w:after="30"/>
        <w:rPr>
          <w:rFonts w:ascii="Times New Roman" w:hAnsi="Times New Roman"/>
          <w:sz w:val="20"/>
          <w:szCs w:val="20"/>
        </w:rPr>
      </w:pPr>
    </w:p>
    <w:p w14:paraId="35AFDFAC" w14:textId="77777777" w:rsidR="002E70B6" w:rsidRPr="002E70B6" w:rsidRDefault="002E70B6" w:rsidP="002E70B6">
      <w:pPr>
        <w:spacing w:before="30" w:after="30"/>
        <w:rPr>
          <w:rFonts w:ascii="Times New Roman" w:hAnsi="Times New Roman"/>
          <w:sz w:val="20"/>
          <w:szCs w:val="20"/>
        </w:rPr>
      </w:pPr>
    </w:p>
    <w:p w14:paraId="488060A6" w14:textId="201BCF03" w:rsidR="002E70B6" w:rsidRPr="002E70B6" w:rsidRDefault="002E70B6" w:rsidP="002E70B6">
      <w:pPr>
        <w:pStyle w:val="box476245"/>
        <w:shd w:val="clear" w:color="auto" w:fill="FFFFFF"/>
        <w:spacing w:before="153" w:beforeAutospacing="0" w:after="0" w:afterAutospacing="0"/>
        <w:jc w:val="center"/>
        <w:textAlignment w:val="baseline"/>
        <w:rPr>
          <w:b/>
          <w:bCs/>
          <w:color w:val="231F20"/>
          <w:sz w:val="32"/>
          <w:szCs w:val="32"/>
        </w:rPr>
      </w:pPr>
      <w:r w:rsidRPr="002E70B6">
        <w:rPr>
          <w:b/>
          <w:bCs/>
          <w:color w:val="231F20"/>
          <w:sz w:val="32"/>
          <w:szCs w:val="32"/>
        </w:rPr>
        <w:t>ZAKON O HRVATSKOM JEZIKU</w:t>
      </w:r>
    </w:p>
    <w:p w14:paraId="13694801" w14:textId="77777777" w:rsid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</w:p>
    <w:p w14:paraId="000892F4" w14:textId="4C9B95E8" w:rsidR="002E70B6" w:rsidRPr="002E70B6" w:rsidRDefault="002E70B6" w:rsidP="002E70B6">
      <w:pPr>
        <w:pStyle w:val="Naslov3"/>
      </w:pPr>
      <w:r w:rsidRPr="002E70B6">
        <w:t>DIO PRVI</w:t>
      </w:r>
      <w:r>
        <w:t xml:space="preserve">   </w:t>
      </w:r>
      <w:r w:rsidRPr="002E70B6">
        <w:t>OPĆE ODREDBE</w:t>
      </w:r>
    </w:p>
    <w:p w14:paraId="63FA5B87" w14:textId="77777777" w:rsidR="002E70B6" w:rsidRPr="002E70B6" w:rsidRDefault="002E70B6" w:rsidP="002E70B6">
      <w:pPr>
        <w:pStyle w:val="box476245"/>
        <w:shd w:val="clear" w:color="auto" w:fill="FFFFFF"/>
        <w:spacing w:before="68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Uvodne odredbe</w:t>
      </w:r>
    </w:p>
    <w:p w14:paraId="16962F6D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1.</w:t>
      </w:r>
    </w:p>
    <w:p w14:paraId="1AA6207F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Hrvatski jezik službeni je jezik u Republici Hrvatskoj i jedan od službenih jezika Europske unije.</w:t>
      </w:r>
    </w:p>
    <w:p w14:paraId="72396EF1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U svojoj je ukupnosti i cjelovitosti hrvatski jezik temeljna sastavnica hrvatskoga identiteta i hrvatske kulture te se na njemu odvija usmena i pismena komunikacija u javnom životu u Hrvatskoj.</w:t>
      </w:r>
    </w:p>
    <w:p w14:paraId="20620658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Obuhvat i posebnost hrvatskoga jezika</w:t>
      </w:r>
    </w:p>
    <w:p w14:paraId="6B9A1BEF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2.</w:t>
      </w:r>
    </w:p>
    <w:p w14:paraId="122E81FC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Hrvatski jezik obuhvaća hrvatski standardni jezik (koji se tradicionalno zove i hrvatskim književnim jezikom i hrvatskim jezikom) u svim svojim funkcionalnim stilovima, jezik cjelokupne književne baštine na hrvatskom jeziku ‒ na glagoljici, hrvatskoj ćirilici (bosančici) i latinici (gajici).</w:t>
      </w:r>
    </w:p>
    <w:p w14:paraId="1D3D523A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Posebnost hrvatskoga jezika njegova je trodioba na tri ravnopravna narječja, i to čakavsko, kajkavsko i štokavsko, od kojih je štokavsko odabrano kao osnovica standardnoga jezika.</w:t>
      </w:r>
    </w:p>
    <w:p w14:paraId="54883EF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Uz narječja navedena u stavku 2. ovoga članka, sintetizirana formulom ča-kaj-što, hrvatski jezik obuhvaća i njihove idiome te idiome kojima se služi dio Hrvata u inozemstvu, poput bunjevačkih i bokeljskih govora, moliškohrvatskoga, gradišćanskohrvatskoga ili karaševskohrvatskoga jezika.</w:t>
      </w:r>
    </w:p>
    <w:p w14:paraId="09E40636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Uporaba hrvatskoga standardnog jezika u međunarodnim kontaktima</w:t>
      </w:r>
    </w:p>
    <w:p w14:paraId="0BCF0ADB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3.</w:t>
      </w:r>
    </w:p>
    <w:p w14:paraId="20E020BE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U kontaktima s institucijama Europske unije i u međunarodnim kontaktima Hrvatska se predstavlja na hrvatskome standardnom jeziku i latiničnom pismu (gajici). U opravdanim okolnostima mogu se upotrebljavati i strani jezici.</w:t>
      </w:r>
    </w:p>
    <w:p w14:paraId="5154E0CE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Hrvatski državljani imaju pravo na hrvatskome standardnom jeziku podnositi peticije Europskom parlamentu i predstavke europskomu pučkom pravobranitelju (europskom ombudsmanu) te se obraćati institucijama i savjetodavnim tijelima Europske unije na hrvatskome standardnom jeziku i na njemu dobivati odgovor.</w:t>
      </w:r>
    </w:p>
    <w:p w14:paraId="40411920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Predmet uređenja</w:t>
      </w:r>
    </w:p>
    <w:p w14:paraId="1C6DB5BF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4.</w:t>
      </w:r>
    </w:p>
    <w:p w14:paraId="37E2210D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Ovim se Zakonom utvrđuju osnovna pravila o službenoj i javnoj uporabi hrvatskoga jezika te se osigurava sustavna i stručna skrb o hrvatskom jeziku.</w:t>
      </w:r>
    </w:p>
    <w:p w14:paraId="791AC031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Rodno značenje pojmova</w:t>
      </w:r>
    </w:p>
    <w:p w14:paraId="124C1B27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5.</w:t>
      </w:r>
    </w:p>
    <w:p w14:paraId="0CBA6AAF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Izrazi koji se upotrebljavaju u ovom Zakonu, a imaju rodno značenje odnose se jednako na muški i ženski rod.</w:t>
      </w:r>
    </w:p>
    <w:p w14:paraId="669B61EF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Područje primjene Zakona</w:t>
      </w:r>
    </w:p>
    <w:p w14:paraId="72090E06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6.</w:t>
      </w:r>
    </w:p>
    <w:p w14:paraId="606BF437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Ovim se Zakonom potiče uporaba svih idioma hrvatskoga jezika, svih funkcionalnih stilova hrvatskoga standardnog jezika i hrvatskih povijesnih pisama u odgovarajućim prigodama, kao bitnih odrednica nematerijalne kulturne baštine i nasljeđa hrvatskoga naroda, što je osobito važno za njegovo očuvanje, njegovanje i budući razvoj.</w:t>
      </w:r>
    </w:p>
    <w:p w14:paraId="2884BB86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Ovim se Zakonom ne ograničavaju slobode književnoumjetničkoga izražavanja niti se njime regulira privatna komunikacija.</w:t>
      </w:r>
    </w:p>
    <w:p w14:paraId="071AB97B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Ovaj Zakon ne ograničava primjenu ustavnoga zakona kojim se uređuju prava nacionalnih manjina, zakona kojim se uređuje uporaba jezika i pisma nacionalnih manjina u Hrvatskoj ni zakona kojim se uređuju područja županija, gradova i općina u Hrvatskoj.</w:t>
      </w:r>
    </w:p>
    <w:p w14:paraId="274A6732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lastRenderedPageBreak/>
        <w:t>(4) Ovaj Zakon ne ograničava uporabu hrvatske brajice za potrebe slijepih osoba ni primjenu zakona kojim se uređuju hrvatski znakovni jezik i ostali sustavi komunikacije gluhih i gluhoslijepih osoba u Hrvatskoj.</w:t>
      </w:r>
    </w:p>
    <w:p w14:paraId="6C65B5E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(5) Ovaj se Zakon ne odnosi na jezik koji se upotrebljava u vjerskim obredima ni na uporabu klasičnih jezika u stručnoj terminologiji.</w:t>
      </w:r>
    </w:p>
    <w:p w14:paraId="14FFC5AC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Skrb o hrvatskom jeziku</w:t>
      </w:r>
    </w:p>
    <w:p w14:paraId="334F02DE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7.</w:t>
      </w:r>
    </w:p>
    <w:p w14:paraId="792DDF01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Nacionalni je jezik nematerijalno kulturno dobro te obilježje identiteta i pripadnosti njegovu narodu, ali i nezamjenjivo zajedničko komunikacijsko sredstvo za izražavanje i sporazumijevanje o kojem je potrebno skrbiti se na odgovarajući način.</w:t>
      </w:r>
    </w:p>
    <w:p w14:paraId="6FD119D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Vlada Republike Hrvatske (u daljnjem tekstu: Vlada) dužna je skrbiti se o zaštiti i osiguranju slobode uporabe hrvatskoga jezika, što uključuje osiguranje pravnih temelja za njegovu uporabu i razvoj te promicanje kulture hrvatskoga jezika u službenoj i javnoj uporabi.</w:t>
      </w:r>
    </w:p>
    <w:p w14:paraId="43D8CC95" w14:textId="48546295" w:rsidR="002E70B6" w:rsidRPr="002E70B6" w:rsidRDefault="002E70B6" w:rsidP="00DD0688">
      <w:pPr>
        <w:pStyle w:val="Naslov3"/>
      </w:pPr>
      <w:r w:rsidRPr="002E70B6">
        <w:t>DIO DRUGI</w:t>
      </w:r>
      <w:r>
        <w:t xml:space="preserve">   </w:t>
      </w:r>
      <w:r w:rsidRPr="002E70B6">
        <w:t>OSNOVNA PRAVILA O SLUŽBENOJ I JAVNOJ UPORABI HRVATSKOGA JEZIKA</w:t>
      </w:r>
    </w:p>
    <w:p w14:paraId="6F2D3FA0" w14:textId="77777777" w:rsidR="002E70B6" w:rsidRPr="002E70B6" w:rsidRDefault="002E70B6" w:rsidP="002E70B6">
      <w:pPr>
        <w:pStyle w:val="box476245"/>
        <w:shd w:val="clear" w:color="auto" w:fill="FFFFFF"/>
        <w:spacing w:before="68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Službena uporaba hrvatskoga jezika</w:t>
      </w:r>
    </w:p>
    <w:p w14:paraId="35EED29D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8.</w:t>
      </w:r>
    </w:p>
    <w:p w14:paraId="2612A3AF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U Hrvatskoj je u službenoj uporabi hrvatski standardni jezik i latinično pismo (gajica).</w:t>
      </w:r>
    </w:p>
    <w:p w14:paraId="341E3177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Na hrvatskome standardnom jeziku odvija se pismena i usmena komunikacija tijela državne vlasti, tijela državne uprave, tijela jedinica lokalne i područne (regionalne) samouprave te pravnih osoba koje imaju javne ovlasti, odnosno svih javnopravnih tijela u Hrvatskoj.</w:t>
      </w:r>
    </w:p>
    <w:p w14:paraId="055C6140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Iznimno od stavka 2. ovoga članka, u specifičnim situacijama mogu se upotrebljavati i lokalni idiomi.</w:t>
      </w:r>
    </w:p>
    <w:p w14:paraId="440B7E82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(4) Normativni akti, administrativni i drugi službeni dokumenti mogu se donositi i na drugim jezicima samo ako imaju pravovaljanu inačicu na hrvatskome standardnom jeziku.</w:t>
      </w:r>
    </w:p>
    <w:p w14:paraId="08012C27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Uporaba hrvatskoga standardnog jezika u međunarodnoj suradnji</w:t>
      </w:r>
    </w:p>
    <w:p w14:paraId="30078F5D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9.</w:t>
      </w:r>
    </w:p>
    <w:p w14:paraId="2D13A94B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Kada nastupaju u međunarodnom okružju, u službenim i protokolarnim situacijama u kojima je osigurano pismeno i usmeno prevođenje, javnopravna tijela Hrvatske i njihovi zastupnici služe se, u pravilu, hrvatskim standardnim jezikom.</w:t>
      </w:r>
    </w:p>
    <w:p w14:paraId="66527929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U međunarodnoj komunikaciji i pri obavješćivanju međunarodne javnosti strani jezik rabi se prema potrebi.</w:t>
      </w:r>
    </w:p>
    <w:p w14:paraId="04FF0EB6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Lektori i lektorske usluge</w:t>
      </w:r>
    </w:p>
    <w:p w14:paraId="47E41669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10.</w:t>
      </w:r>
    </w:p>
    <w:p w14:paraId="143CA020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Tijela iz članka 8. stavka 2. ovoga Zakona dužna su na hrvatskome standardnom jeziku osigurati jezično uređenje normativnih akata, akata strateškoga planiranja, službenih publikacija i njihovih priloga te izvješća i drugih dokumenata iz svoje nadležnosti.</w:t>
      </w:r>
    </w:p>
    <w:p w14:paraId="74D7A74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Poslove iz stavka 1. ovoga članka tijela državne vlasti i državne uprave osiguravaju zapošljavanjem lektora, a druga javnopravna tijela navedene poslove mogu osigurati i vanjskom lektorskom uslugom.</w:t>
      </w:r>
    </w:p>
    <w:p w14:paraId="1038CC06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Kako bi se u službenoj uporabi osigurala terminološka ujednačenost i standardizacija hrvatskoga jezika, lektori se u svom radu trebaju voditi odredbama ovoga Zakona, kao i odredbama drugih zakona o uporabi hrvatskoga jezika ako one nisu protivne odredbama ovoga Zakona.</w:t>
      </w:r>
    </w:p>
    <w:p w14:paraId="6DF7C071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(4) Kako bi se osigurala terminološka ujednačenost hrvatskoga standardnog jezika u službenim dokumentima na nacionalnoj i europskoj razini, lektori u tijelima državne vlasti i državne uprave sustavno izvješćuju Vijeće za hrvatski jezik iz članka 17. ovoga Zakona o terminološkim nedoumicama ili leksičkim prazninama u hrvatskom jeziku koje se odnose na nove pojmove iz njihova djelokruga.</w:t>
      </w:r>
    </w:p>
    <w:p w14:paraId="549EAD1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(5) Kako bi se osigurala usklađenost »Narodnih novina«, službenog lista Republike Hrvatske, i hrvatske inačice Službenog lista Europske unije, lektori iz stavka 4. ovoga članka izvješćuju službu u ministarstvu nadležnom za vanjske i europske poslove koja surađuje s jezičnim službama za hrvatski jezik u institucijama Europske unije te ima svog predstavnika u Vijeću za hrvatski jezik iz članka 17. ovoga Zakona.</w:t>
      </w:r>
    </w:p>
    <w:p w14:paraId="6662C62F" w14:textId="77777777" w:rsid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(6) Radi postizanja usuglašenih rješenja na nacionalnoj i europskoj razini služba ministarstva nadležnoga za vanjske i europske poslove iz stavka 5. ovoga članka provodi po potrebi jezične konzultacije s nadležnim službama institucija Europske unije koje se bave prevođenjem i pravnom redakturom.</w:t>
      </w:r>
    </w:p>
    <w:p w14:paraId="7659E4D1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Javna uporaba hrvatskoga jezika</w:t>
      </w:r>
    </w:p>
    <w:p w14:paraId="71AC2DC5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11.</w:t>
      </w:r>
    </w:p>
    <w:p w14:paraId="7564C48A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Javna uporaba hrvatskoga standardnog jezika svaka je usmena ili pismena jezična obavijest u prostoru namijenjenom javnosti ili širokoj publici, uključujući i obavijest elektroničkim putem.</w:t>
      </w:r>
    </w:p>
    <w:p w14:paraId="35D4EA9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Uz uporabu hrvatskoga standardnog jezika u neslužbenim prigodama moguća je i javna uporaba narječnih idioma hrvatskoga jezika radi poticanja i uvažavanja regionalnih posebnosti.</w:t>
      </w:r>
    </w:p>
    <w:p w14:paraId="443800C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Hrvatski standardni jezik sredstvo je obavješćivanja javnosti i potrošača o proizvodima i uslugama na tržištu u Hrvatskoj.</w:t>
      </w:r>
    </w:p>
    <w:p w14:paraId="3382203E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(4) Javne obavijesti i promidžbene poruke u govorenom, pisanom (tiskanom ili rukopisnom) ili elektroničkom obliku donose se na hrvatskom jeziku.</w:t>
      </w:r>
    </w:p>
    <w:p w14:paraId="221BB77A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(5) Višejezične javne obavijesti i promidžbene poruke, uključujući sadržaje prometnih i turističkih znakova, oblikuju se prvo na hrvatskom jeziku, a zatim na drugim jezicima, uključujući i lokalne nazive.</w:t>
      </w:r>
    </w:p>
    <w:p w14:paraId="1C5A8BB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(6) U medijskim sadržajima može se uz uporabu hrvatskoga standardnog jezika uporabiti i hrvatski narječni idiom, osobito kada za to ima umjetničkih razloga te u sinkronizaciji inojezičnih filmova i kazališnih predstava za sve dobne skupine.</w:t>
      </w:r>
    </w:p>
    <w:p w14:paraId="58AE3DB3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Uporaba hrvatskoga jezika u obrazovanju</w:t>
      </w:r>
    </w:p>
    <w:p w14:paraId="2F81D68B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12.</w:t>
      </w:r>
    </w:p>
    <w:p w14:paraId="23105629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Nastava i drugi oblici odgojno-obrazovnoga rada u odgoj</w:t>
      </w:r>
      <w:r w:rsidRPr="002E70B6">
        <w:rPr>
          <w:color w:val="231F20"/>
          <w:sz w:val="20"/>
          <w:szCs w:val="20"/>
        </w:rPr>
        <w:softHyphen/>
        <w:t>no-obrazovnim ustanovama u Hrvatskoj izvode se na svim razinama na hrvatskome standardnom jeziku.</w:t>
      </w:r>
    </w:p>
    <w:p w14:paraId="44C61732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U slučajevima u kojima je polaznicima razumljivija komunikacija na dijalektu, odgojno-obrazovni djelatnici i polaznici mogu se u dijelu komunikacije služiti nekim od ostalih oblika hrvatskoga jezika, pri čemu se predmet Hrvatski jezik u cijelosti izvodi na standardnom jeziku, osim ondje gdje to zahtijeva lingvometodički predložak, književnoumjetnički ili medijski tekst te u spontanim aktivnostima.</w:t>
      </w:r>
    </w:p>
    <w:p w14:paraId="7E74AAC2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Osim na hrvatskom jeziku, obrazovanje djece pripadnika nacionalnih manjina ostvaruje se i prema odredbama zakona kojim se uređuje odgoj i obrazovanje na jeziku i pismu nacionalnih manjina u Hrvatskoj.</w:t>
      </w:r>
    </w:p>
    <w:p w14:paraId="5CC7CD42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(4) Nastava i drugi oblici odgojno-obrazovnoga rada mogu se izvoditi i na nekom od stranih jezika, sukladno propisima kojima se uređuje djelatnost odgoja i obrazovanja u Hrvatskoj.</w:t>
      </w:r>
    </w:p>
    <w:p w14:paraId="781A55AF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Promicanje učenja hrvatskoga jezika</w:t>
      </w:r>
    </w:p>
    <w:p w14:paraId="25560C51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13.</w:t>
      </w:r>
    </w:p>
    <w:p w14:paraId="71234F12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Vlada promiče učenje hrvatskoga jezika u Hrvatskoj i svijetu.</w:t>
      </w:r>
    </w:p>
    <w:p w14:paraId="729D68F6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Ministarstvo nadležno za obrazovanje (u daljnjem tekstu: Ministarstvo) donosi kurikule namijenjene redovitom obrazovanju i programe koji se odnose na pripremnu i dopunsku nastavu za one učenike koji ne znaju ili nedostatno znaju hrvatski jezik te programe koji su namijenjeni strancima i potomcima hrvatskih iseljenika u Hrvatskoj i inozemstvu.</w:t>
      </w:r>
    </w:p>
    <w:p w14:paraId="1BD09649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Nadležne državne i javne ustanove različitim oblicima odgojno-obrazovnoga rada potpomažu učenje hrvatskoga kao inoga jezika (stranoga, nasljednoga, drugoga) i hrvatske kulture za sve one koji žele naučiti hrvatski jezik.</w:t>
      </w:r>
    </w:p>
    <w:p w14:paraId="2C223E2B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(4) Nastavni predmet Hrvatski jezik u osnovnoškolskom i srednjoškolskom odgoju i obrazovanju ostvaruje se tako da je u svakom razredu (svake školske godine) barem polovica njegova sadržaja izravno usmjerena na jezične teme odnosno na usmeno i pismeno izražavanje (slušanje i govorenje, čitanje i pisanje) na hrvatskome standardnom jeziku, na njegov rječnik, gramatiku i pravopis, funkcionalne stilove, povijest, narječne idiome, književnu uporabu i prevođenje.</w:t>
      </w:r>
    </w:p>
    <w:p w14:paraId="38B7D4AF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(5) Vlada vodi posebnu skrb o učenju i očuvanju hrvatskoga jezika i kulture među Hrvatima i njihovim potomcima koji žive izvan Hrvatske te o promicanju hrvatskoga standardnog jezika u svijetu poticanjem njegova poučavanja na inozemnim obrazovnim ustanovama.</w:t>
      </w:r>
    </w:p>
    <w:p w14:paraId="7F6707F9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Poznavanje hrvatskoga jezika u postupku stjecanja državljanstva i za potrebe obavljanja profesije u Hrvatskoj</w:t>
      </w:r>
    </w:p>
    <w:p w14:paraId="2EA9E9D2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14.</w:t>
      </w:r>
    </w:p>
    <w:p w14:paraId="477BFBA0" w14:textId="77777777" w:rsid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U postupku stjecanja hrvatskoga državljanstva poznavanje hrvatskoga jezika utvrđuje se posebnim zakonom o hrvatskom državljanstvu, dok je potrebna razina znanja hrvatskoga jezika za obavljanje pojedinih profesija u Hrvatskoj propisana posebnim zakonom o reguliranim profesijama i priznavanju inozemnih stručnih kvalifikacija.</w:t>
      </w:r>
    </w:p>
    <w:p w14:paraId="29920755" w14:textId="77777777" w:rsid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</w:p>
    <w:p w14:paraId="6665DCBF" w14:textId="77777777" w:rsid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</w:p>
    <w:p w14:paraId="5F96275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</w:p>
    <w:p w14:paraId="7A70F6E6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Posebne odredbe o službenoj i javnoj uporabi hrvatskoga jezika</w:t>
      </w:r>
    </w:p>
    <w:p w14:paraId="5ABCC439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15.</w:t>
      </w:r>
    </w:p>
    <w:p w14:paraId="16C0A37D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Hrvatski toponimi (imena mjesta i zemljopisnih lokaliteta) dio su hrvatske jezične baštine i u svojoj se pojavnosti zaštićuju na svim razinama službene i javne uporabe.</w:t>
      </w:r>
    </w:p>
    <w:p w14:paraId="774CB1A6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U javnoj uporabi nazivi kulturnih, sportskih, zabavnih i stručnih manifestacija, znanstvenih konferencija, priredaba i objekata ističu se na hrvatskom jeziku, a u slučaju prijevoda na stranom jeziku hrvatska inačica ističe se na prvome mjestu.</w:t>
      </w:r>
    </w:p>
    <w:p w14:paraId="544812D5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U međunarodnoj službenoj komunikaciji inojezična inačica može se rabiti na prvome mjestu.</w:t>
      </w:r>
    </w:p>
    <w:p w14:paraId="6C07540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(4) Tekst na stranom jeziku koji se objavljuje u publikaciji sufinanciranoj sredstvima državnoga proračuna Republike Hrvatske obvezno ima sažetak i na hrvatskome standardnom jeziku.</w:t>
      </w:r>
    </w:p>
    <w:p w14:paraId="702EE0BC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(5) U višejezičnim publikacijama koje se sufinanciraju sredstvima državnoga proračuna Republike Hrvatske na prvome mjestu donosi se tekst na hrvatskome standardnom jeziku.</w:t>
      </w:r>
    </w:p>
    <w:p w14:paraId="517090FF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(6) Priručnici za hrvatski jezik i tekstni sadržaji iz hrvatske jezične baštine koji se financiraju sredstvima državnoga proračuna Republike Hrvatske objavljuju se na mrežnim stranicama u besplatnom elektroničkom obliku koji osigurava njihovu slobodnu uporabu.</w:t>
      </w:r>
    </w:p>
    <w:p w14:paraId="6677547C" w14:textId="52D7FB1F" w:rsidR="002E70B6" w:rsidRPr="002E70B6" w:rsidRDefault="002E70B6" w:rsidP="002E70B6">
      <w:pPr>
        <w:pStyle w:val="Naslov3"/>
      </w:pPr>
      <w:r w:rsidRPr="002E70B6">
        <w:t>DIO TREĆI</w:t>
      </w:r>
      <w:r>
        <w:t xml:space="preserve">   </w:t>
      </w:r>
      <w:r w:rsidRPr="002E70B6">
        <w:t>SUSTAVNA I STRUČNA SKRB O HRVATSKOM JEZIKU</w:t>
      </w:r>
    </w:p>
    <w:p w14:paraId="0AF10EB0" w14:textId="77777777" w:rsidR="002E70B6" w:rsidRPr="002E70B6" w:rsidRDefault="002E70B6" w:rsidP="002E70B6">
      <w:pPr>
        <w:pStyle w:val="box476245"/>
        <w:shd w:val="clear" w:color="auto" w:fill="FFFFFF"/>
        <w:spacing w:before="68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Nacionalni plan hrvatske jezične politike</w:t>
      </w:r>
    </w:p>
    <w:p w14:paraId="5CCD3028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16.</w:t>
      </w:r>
    </w:p>
    <w:p w14:paraId="46BD4D8A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Radi zaštite, osiguranja slobode uporabe i poticanja razvoja hrvatskoga jezika Vlada donosi Nacionalni plan hrvatske jezične politike (u daljnjem tekstu: Nacionalni plan) s popisom prioritetnih ciljeva i mjera.</w:t>
      </w:r>
    </w:p>
    <w:p w14:paraId="67548D42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Nacionalni plan obuhvaća pitanja javne i službene uporabe hrvatskoga jezika koja su definirana ovim Zakonom te odredbama drugih zakona o uporabi hrvatskoga jezika s raščlambom postojećega stanja i razradom posebice sljedećih točaka:</w:t>
      </w:r>
    </w:p>
    <w:p w14:paraId="31BC0CEC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a) društvena uloga i pravni položaj hrvatskoga jezika u Hrvatskoj i u međunarodnom okružju</w:t>
      </w:r>
    </w:p>
    <w:p w14:paraId="16487B7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b) promicanje uporabe hrvatskoga jezika u službenoj i javnoj uporabi</w:t>
      </w:r>
    </w:p>
    <w:p w14:paraId="75B4A9B7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c) unaprjeđenje jezičnih tehnologija za hrvatski jezik uporabom elektroničke (digitalne) leksikografije, računalnih korpusa hrvatskoga jezika i slobodnoga pristupa digitaliziranim tiskovinama na hrvatskom jeziku te drugih javnih mrežnih jezičnih servisa, uključujući i autonomne i poluautonomne programe za strojno prevođenje</w:t>
      </w:r>
    </w:p>
    <w:p w14:paraId="2EDFC180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d) razvoj nazivlja na hrvatskome standardnom jeziku u okviru normiranja i jezičnoga planiranja</w:t>
      </w:r>
    </w:p>
    <w:p w14:paraId="590F1441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e) promicanje i unaprjeđenje učenja hrvatskoga jezika među strancima i potomcima hrvatskih iseljenika u Hrvatskoj i inozemstvu.</w:t>
      </w:r>
    </w:p>
    <w:p w14:paraId="3288E9C4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Vijeće za hrvatski jezik</w:t>
      </w:r>
    </w:p>
    <w:p w14:paraId="497CCA1C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17.</w:t>
      </w:r>
    </w:p>
    <w:p w14:paraId="53628011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Vijeće za hrvatski jezik (u daljnjem tekstu: Vijeće) savjetodavno je tijelo koje osniva Vlada i čiji je rad usmjeren na zaštitu, njegovanje i razvoj hrvatskoga jezika.</w:t>
      </w:r>
    </w:p>
    <w:p w14:paraId="04D7FB99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Sjedište Vijeća je u ministarstvu nadležnom za kulturu, koje za Vijeće obavlja administrativne, tehničke i pravne poslove.</w:t>
      </w:r>
    </w:p>
    <w:p w14:paraId="6CDBD3E0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(3) Vijeće čini predsjednik i četrnaest članova, stručnjaka za hrvatski jezik, koje imenuje Vlada na prijedlog ministara nadležnih za obrazovanje, znanost i kulturu.</w:t>
      </w:r>
    </w:p>
    <w:p w14:paraId="485C3A86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(4) Kandidate za članove Vijeća, uključujući i predsjednika, predlažu sljedeće ustanove i strukovna udruženja te tijelo državne uprave koje surađuje s jezičnim službama za hrvatski jezik u institucijama Europske unije:</w:t>
      </w:r>
    </w:p>
    <w:p w14:paraId="153E1427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Hrvatska akademija znanosti i umjetnosti</w:t>
      </w:r>
    </w:p>
    <w:p w14:paraId="0997DE1C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Matica hrvatska</w:t>
      </w:r>
    </w:p>
    <w:p w14:paraId="223085A8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Institut za hrvatski jezik</w:t>
      </w:r>
    </w:p>
    <w:p w14:paraId="3A843B5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0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Leksikografski zavod </w:t>
      </w:r>
      <w:r w:rsidRPr="002E70B6">
        <w:rPr>
          <w:rStyle w:val="kurziv"/>
          <w:color w:val="231F20"/>
          <w:sz w:val="20"/>
          <w:szCs w:val="20"/>
          <w:bdr w:val="none" w:sz="0" w:space="0" w:color="auto" w:frame="1"/>
        </w:rPr>
        <w:t>Miroslav Krleža</w:t>
      </w:r>
    </w:p>
    <w:p w14:paraId="7DE4A8F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Nacionalna i sveučilišna knjižnica u Zagrebu</w:t>
      </w:r>
    </w:p>
    <w:p w14:paraId="4832959F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javna sveučilišta u Hrvatskoj (Sveučilište u Zagrebu, Sveučilište u Zadru, Sveučilište u Rijeci, Sveučilište Josipa Jurja Strossmayera u Osijeku, Sveučilište u Splitu te Sveučilište Jurja Dobrile u Puli)</w:t>
      </w:r>
    </w:p>
    <w:p w14:paraId="57A2CDB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Hrvatsko filološko društvo</w:t>
      </w:r>
    </w:p>
    <w:p w14:paraId="1BBA3D2C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Društvo hrvatskih književnih prevodilaca</w:t>
      </w:r>
    </w:p>
    <w:p w14:paraId="52C97F19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Hrvatsko društvo konferencijskih prevoditelja</w:t>
      </w:r>
    </w:p>
    <w:p w14:paraId="171DD22D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‒ ministarstvo nadležno za vanjske i europske poslove.</w:t>
      </w:r>
    </w:p>
    <w:p w14:paraId="6E14D7FE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(5) Ustanove i strukovna udruženja iz stavka 4. ovoga članka mogu predložiti više kandidata za članove Vijeća.</w:t>
      </w:r>
    </w:p>
    <w:p w14:paraId="30AF2EB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0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(6) Među kandidatima koje predlaže Hrvatska akademija znanosti i umjetnosti, Matica hrvatska, Institut za hrvatski jezik, Leksikografski zavod </w:t>
      </w:r>
      <w:r w:rsidRPr="002E70B6">
        <w:rPr>
          <w:rStyle w:val="kurziv"/>
          <w:color w:val="231F20"/>
          <w:sz w:val="20"/>
          <w:szCs w:val="20"/>
          <w:bdr w:val="none" w:sz="0" w:space="0" w:color="auto" w:frame="1"/>
        </w:rPr>
        <w:t>Miroslav Krleža </w:t>
      </w:r>
      <w:r w:rsidRPr="002E70B6">
        <w:rPr>
          <w:color w:val="231F20"/>
          <w:sz w:val="20"/>
          <w:szCs w:val="20"/>
        </w:rPr>
        <w:t>te Nacionalna i sveučilišna knjižnica u Zagrebu u Vijeće se imenuje pet članova, i to po jedan predstavnik svake od navedenih ustanova.</w:t>
      </w:r>
    </w:p>
    <w:p w14:paraId="4B9F5395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(7) Među kandidatima koje predlažu javna sveučilišta u Hrvatskoj u Vijeće se imenuje šest članova, i to po jedan predstavnik svakoga sveučilišta.</w:t>
      </w:r>
    </w:p>
    <w:p w14:paraId="3A564AB4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(8) Među kandidatima koje predlažu Hrvatsko filološko društvo, Društvo hrvatskih književnih prevodilaca i Hrvatsko društvo konferencijskih prevoditelja u Vijeće se imenuju tri člana, i to po jedan predstavnik svakog udruženja.</w:t>
      </w:r>
    </w:p>
    <w:p w14:paraId="1B7CB17C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(9) Iz službe ministarstva nadležnoga za vanjske i europske poslove koja surađuje s jezičnim službama za hrvatski jezik u institucijama Europske unije u Vijeće se imenuje jedan član.</w:t>
      </w:r>
    </w:p>
    <w:p w14:paraId="19B1B09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(10) Uz predsjednika Vijeće ima i potpredsjednika kojega članovi Vijeća biraju na konstituirajućoj sjednici natpolovičnom većinom glasova svih članova.</w:t>
      </w:r>
    </w:p>
    <w:p w14:paraId="50CFB8AA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(11) Mandat članova Vijeća traje četiri godine te se ista osoba može još jedanput ponovno imenovati.</w:t>
      </w:r>
    </w:p>
    <w:p w14:paraId="4BEC339D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(12) Način rada Vijeća pobliže se uređuje poslovnikom o njegovu radu, na koji Ministarstvo prethodno daje suglasnost.</w:t>
      </w:r>
    </w:p>
    <w:p w14:paraId="3F84F06B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(13) Ministarstvo najkasnije šest mjeseci prije isteka mandata pokreće postupak izbora novih članova Vijeća.</w:t>
      </w:r>
    </w:p>
    <w:p w14:paraId="6A07FF4D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Djelokrug Vijeća</w:t>
      </w:r>
    </w:p>
    <w:p w14:paraId="4FDA2349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18.</w:t>
      </w:r>
    </w:p>
    <w:p w14:paraId="7E887A16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Djelokrug Vijeća, kao savjetodavnoga tijela Vlade, obuhvaća:</w:t>
      </w:r>
    </w:p>
    <w:p w14:paraId="54C0A4A3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a) skrb o hrvatskom jeziku</w:t>
      </w:r>
    </w:p>
    <w:p w14:paraId="7D78EAC9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b) promicanje kulture hrvatskoga jezika u službenoj i javnoj uporabi</w:t>
      </w:r>
    </w:p>
    <w:p w14:paraId="22D41E9A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c) pitanja zaštite bogatstva hrvatskoga jezika, raznolikosti narječnih idioma te njihove specifične funkcionalne uporabe</w:t>
      </w:r>
    </w:p>
    <w:p w14:paraId="3EA6BDE8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d) predlaganje donošenja mjera za zaštitu, osiguranje slobode uporabe i poticanje razvoja hrvatskoga jezika</w:t>
      </w:r>
    </w:p>
    <w:p w14:paraId="1DD03D75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e) sudjelovanje u izradi Nacionalnoga plana iz članka 16. ovoga Zakona</w:t>
      </w:r>
    </w:p>
    <w:p w14:paraId="58D2729E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f) praćenje provedbe ovoga Zakona.</w:t>
      </w:r>
    </w:p>
    <w:p w14:paraId="1C83EB52" w14:textId="171CFCD0" w:rsidR="002E70B6" w:rsidRPr="002E70B6" w:rsidRDefault="002E70B6" w:rsidP="002E70B6">
      <w:pPr>
        <w:pStyle w:val="Naslov3"/>
      </w:pPr>
      <w:r w:rsidRPr="002E70B6">
        <w:t>DIO ČETVRTI</w:t>
      </w:r>
      <w:r>
        <w:t xml:space="preserve">   </w:t>
      </w:r>
      <w:r w:rsidRPr="002E70B6">
        <w:t>PRIJELAZNE I ZAVRŠNE ODREDBE</w:t>
      </w:r>
    </w:p>
    <w:p w14:paraId="0BE76D0D" w14:textId="77777777" w:rsidR="002E70B6" w:rsidRPr="002E70B6" w:rsidRDefault="002E70B6" w:rsidP="002E70B6">
      <w:pPr>
        <w:pStyle w:val="box476245"/>
        <w:shd w:val="clear" w:color="auto" w:fill="FFFFFF"/>
        <w:spacing w:before="68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Rokovi za osnivanje Vijeća i donošenje Nacionalnoga plana</w:t>
      </w:r>
    </w:p>
    <w:p w14:paraId="484F5168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19.</w:t>
      </w:r>
    </w:p>
    <w:p w14:paraId="25F2D9C6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(1) Vlada će Vijeće iz članka 17. ovoga Zakona osnovati u roku od šest mjeseci od dana njegova stupanja na snagu.</w:t>
      </w:r>
    </w:p>
    <w:p w14:paraId="70995658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(2) Vlada će Nacionalni plan iz članka 16. ovoga Zakona donijeti u roku od dvije godine od dana njegova stupanja na snagu.</w:t>
      </w:r>
    </w:p>
    <w:p w14:paraId="459270DE" w14:textId="77777777" w:rsidR="002E70B6" w:rsidRPr="002E70B6" w:rsidRDefault="002E70B6" w:rsidP="002E70B6">
      <w:pPr>
        <w:pStyle w:val="box476245"/>
        <w:shd w:val="clear" w:color="auto" w:fill="FFFFFF"/>
        <w:spacing w:before="204" w:beforeAutospacing="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Stupanje na snagu</w:t>
      </w:r>
    </w:p>
    <w:p w14:paraId="1E00DB14" w14:textId="77777777" w:rsidR="002E70B6" w:rsidRPr="002E70B6" w:rsidRDefault="002E70B6" w:rsidP="002E70B6">
      <w:pPr>
        <w:pStyle w:val="box476245"/>
        <w:shd w:val="clear" w:color="auto" w:fill="FFFFFF"/>
        <w:spacing w:before="34" w:beforeAutospacing="0" w:after="48" w:afterAutospacing="0"/>
        <w:jc w:val="center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Članak 20.</w:t>
      </w:r>
    </w:p>
    <w:p w14:paraId="21E14D5B" w14:textId="77777777" w:rsidR="002E70B6" w:rsidRPr="002E70B6" w:rsidRDefault="002E70B6" w:rsidP="002E70B6">
      <w:pPr>
        <w:pStyle w:val="box476245"/>
        <w:shd w:val="clear" w:color="auto" w:fill="FFFFFF"/>
        <w:spacing w:before="0" w:beforeAutospacing="0" w:after="48" w:afterAutospacing="0"/>
        <w:textAlignment w:val="baseline"/>
        <w:rPr>
          <w:color w:val="231F20"/>
          <w:sz w:val="20"/>
          <w:szCs w:val="20"/>
        </w:rPr>
      </w:pPr>
      <w:r w:rsidRPr="002E70B6">
        <w:rPr>
          <w:color w:val="231F20"/>
          <w:sz w:val="20"/>
          <w:szCs w:val="20"/>
        </w:rPr>
        <w:t>Ovaj Zakon stupa na snagu osmoga dana od dana objave u »Narodnim novinama«.</w:t>
      </w:r>
    </w:p>
    <w:p w14:paraId="1210AA8C" w14:textId="77777777" w:rsidR="002E70B6" w:rsidRPr="002E70B6" w:rsidRDefault="002E70B6" w:rsidP="002E70B6">
      <w:pPr>
        <w:spacing w:before="30" w:after="30"/>
        <w:rPr>
          <w:rFonts w:ascii="Times New Roman" w:hAnsi="Times New Roman"/>
          <w:sz w:val="20"/>
          <w:szCs w:val="20"/>
        </w:rPr>
      </w:pPr>
    </w:p>
    <w:sectPr w:rsidR="002E70B6" w:rsidRPr="002E70B6" w:rsidSect="005F1BA6">
      <w:headerReference w:type="default" r:id="rId8"/>
      <w:footerReference w:type="default" r:id="rId9"/>
      <w:pgSz w:w="11906" w:h="16838"/>
      <w:pgMar w:top="1985" w:right="1133" w:bottom="1134" w:left="1134" w:header="567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BC2B0" w14:textId="77777777" w:rsidR="005F1BA6" w:rsidRDefault="005F1BA6" w:rsidP="002157BC">
      <w:r>
        <w:separator/>
      </w:r>
    </w:p>
  </w:endnote>
  <w:endnote w:type="continuationSeparator" w:id="0">
    <w:p w14:paraId="53BA16AD" w14:textId="77777777" w:rsidR="005F1BA6" w:rsidRDefault="005F1BA6" w:rsidP="0021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37A83" w14:textId="77777777" w:rsidR="002157BC" w:rsidRPr="00DF7FC2" w:rsidRDefault="002157BC" w:rsidP="002157BC">
    <w:pPr>
      <w:pStyle w:val="Podnoje"/>
      <w:pBdr>
        <w:top w:val="single" w:sz="4" w:space="1" w:color="auto"/>
      </w:pBdr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PAGE 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770E47">
      <w:rPr>
        <w:rFonts w:ascii="Times New Roman" w:hAnsi="Times New Roman"/>
        <w:noProof/>
        <w:sz w:val="18"/>
        <w:szCs w:val="18"/>
      </w:rPr>
      <w:t>1</w:t>
    </w:r>
    <w:r w:rsidRPr="00DF7FC2">
      <w:rPr>
        <w:rFonts w:ascii="Times New Roman" w:hAnsi="Times New Roman"/>
        <w:sz w:val="18"/>
        <w:szCs w:val="18"/>
      </w:rPr>
      <w:fldChar w:fldCharType="end"/>
    </w:r>
  </w:p>
  <w:p w14:paraId="2B29DAD9" w14:textId="77777777" w:rsidR="00702AA5" w:rsidRPr="00702AA5" w:rsidRDefault="00702AA5" w:rsidP="00702AA5">
    <w:pPr>
      <w:pStyle w:val="Podnoje"/>
      <w:jc w:val="center"/>
      <w:rPr>
        <w:rFonts w:ascii="Times New Roman" w:hAnsi="Times New Roman"/>
        <w:b/>
        <w:bCs/>
        <w:sz w:val="18"/>
        <w:szCs w:val="18"/>
      </w:rPr>
    </w:pPr>
    <w:r w:rsidRPr="00702AA5">
      <w:rPr>
        <w:rFonts w:ascii="Times New Roman" w:hAnsi="Times New Roman"/>
        <w:b/>
        <w:bCs/>
        <w:sz w:val="18"/>
        <w:szCs w:val="18"/>
      </w:rPr>
      <w:t>Zakon o hrvatskom jeziku</w:t>
    </w:r>
  </w:p>
  <w:p w14:paraId="4C83EAD8" w14:textId="78B65621" w:rsidR="002157BC" w:rsidRPr="00DF7FC2" w:rsidRDefault="002157BC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t>NN</w:t>
    </w:r>
    <w:r w:rsidR="00A71198">
      <w:rPr>
        <w:rFonts w:ascii="Times New Roman" w:hAnsi="Times New Roman"/>
        <w:sz w:val="18"/>
        <w:szCs w:val="18"/>
      </w:rPr>
      <w:t xml:space="preserve"> </w:t>
    </w:r>
    <w:r w:rsidR="00702AA5">
      <w:rPr>
        <w:rFonts w:ascii="Times New Roman" w:hAnsi="Times New Roman"/>
        <w:sz w:val="18"/>
        <w:szCs w:val="18"/>
      </w:rPr>
      <w:t>14/24 – na snazi od 15.02.2024.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9C2A9" w14:textId="77777777" w:rsidR="005F1BA6" w:rsidRDefault="005F1BA6" w:rsidP="002157BC">
      <w:r>
        <w:separator/>
      </w:r>
    </w:p>
  </w:footnote>
  <w:footnote w:type="continuationSeparator" w:id="0">
    <w:p w14:paraId="31DA0FCB" w14:textId="77777777" w:rsidR="005F1BA6" w:rsidRDefault="005F1BA6" w:rsidP="0021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087CA" w14:textId="743231F6" w:rsidR="002157BC" w:rsidRDefault="002157BC" w:rsidP="002157BC">
    <w:pPr>
      <w:pStyle w:val="Zaglavlje"/>
      <w:pBdr>
        <w:bottom w:val="single" w:sz="4" w:space="1" w:color="auto"/>
      </w:pBdr>
      <w:tabs>
        <w:tab w:val="clear" w:pos="9072"/>
        <w:tab w:val="right" w:pos="10206"/>
      </w:tabs>
    </w:pPr>
    <w:r>
      <w:tab/>
      <w:t xml:space="preserve">           </w:t>
    </w:r>
    <w:r w:rsidR="00702AA5" w:rsidRPr="00AE2BB9">
      <w:rPr>
        <w:noProof/>
        <w:lang w:eastAsia="hr-HR"/>
      </w:rPr>
      <w:drawing>
        <wp:inline distT="0" distB="0" distL="0" distR="0" wp14:anchorId="1AD26F37" wp14:editId="12201780">
          <wp:extent cx="1799590" cy="767715"/>
          <wp:effectExtent l="0" t="0" r="0" b="0"/>
          <wp:docPr id="1" name="Picture 1" descr="logoTemp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emp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tab/>
    </w:r>
    <w:r w:rsidRPr="00DF7FC2">
      <w:rPr>
        <w:rFonts w:ascii="Times New Roman" w:hAnsi="Times New Roman"/>
      </w:rPr>
      <w:t xml:space="preserve">          </w:t>
    </w:r>
    <w:r w:rsidRPr="00DF7FC2">
      <w:rPr>
        <w:rFonts w:ascii="Times New Roman" w:hAnsi="Times New Roman"/>
        <w:sz w:val="18"/>
        <w:szCs w:val="18"/>
      </w:rPr>
      <w:t>Ispisano:</w:t>
    </w:r>
    <w:r w:rsidRPr="00DF7FC2">
      <w:rPr>
        <w:rFonts w:ascii="Times New Roman" w:hAnsi="Times New Roman"/>
      </w:rPr>
      <w:t xml:space="preserve"> </w:t>
    </w: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PRINTDATE  \@ "d. MMMM yyyy."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702AA5">
      <w:rPr>
        <w:rFonts w:ascii="Times New Roman" w:hAnsi="Times New Roman"/>
        <w:noProof/>
        <w:sz w:val="18"/>
        <w:szCs w:val="18"/>
      </w:rPr>
      <w:t>0. XXX 0000.</w:t>
    </w:r>
    <w:r w:rsidRPr="00DF7FC2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B58"/>
    <w:multiLevelType w:val="multilevel"/>
    <w:tmpl w:val="534C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F7178"/>
    <w:multiLevelType w:val="hybridMultilevel"/>
    <w:tmpl w:val="8416E070"/>
    <w:lvl w:ilvl="0" w:tplc="BAA009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8604DC"/>
    <w:multiLevelType w:val="hybridMultilevel"/>
    <w:tmpl w:val="9E8026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7837DE"/>
    <w:multiLevelType w:val="hybridMultilevel"/>
    <w:tmpl w:val="5C209B5E"/>
    <w:lvl w:ilvl="0" w:tplc="E53CF18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942FC"/>
    <w:multiLevelType w:val="multilevel"/>
    <w:tmpl w:val="DEC0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A7877"/>
    <w:multiLevelType w:val="hybridMultilevel"/>
    <w:tmpl w:val="D3EA610C"/>
    <w:lvl w:ilvl="0" w:tplc="D7BCC7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2786532">
    <w:abstractNumId w:val="5"/>
  </w:num>
  <w:num w:numId="2" w16cid:durableId="498227857">
    <w:abstractNumId w:val="2"/>
  </w:num>
  <w:num w:numId="3" w16cid:durableId="597833348">
    <w:abstractNumId w:val="3"/>
  </w:num>
  <w:num w:numId="4" w16cid:durableId="834105929">
    <w:abstractNumId w:val="1"/>
  </w:num>
  <w:num w:numId="5" w16cid:durableId="701831838">
    <w:abstractNumId w:val="0"/>
  </w:num>
  <w:num w:numId="6" w16cid:durableId="12372087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AA5"/>
    <w:rsid w:val="000E1C61"/>
    <w:rsid w:val="00115CA5"/>
    <w:rsid w:val="001250E2"/>
    <w:rsid w:val="0015417A"/>
    <w:rsid w:val="0018322D"/>
    <w:rsid w:val="001A3FDB"/>
    <w:rsid w:val="00201616"/>
    <w:rsid w:val="0021437A"/>
    <w:rsid w:val="002157BC"/>
    <w:rsid w:val="0024008E"/>
    <w:rsid w:val="00282C62"/>
    <w:rsid w:val="002B4D39"/>
    <w:rsid w:val="002E70B6"/>
    <w:rsid w:val="003739A3"/>
    <w:rsid w:val="003C6FB3"/>
    <w:rsid w:val="00415B54"/>
    <w:rsid w:val="004205B2"/>
    <w:rsid w:val="00425E03"/>
    <w:rsid w:val="004E14F6"/>
    <w:rsid w:val="00506739"/>
    <w:rsid w:val="00573CA8"/>
    <w:rsid w:val="005F1BA6"/>
    <w:rsid w:val="0060418C"/>
    <w:rsid w:val="00611B6D"/>
    <w:rsid w:val="006408E3"/>
    <w:rsid w:val="00702AA5"/>
    <w:rsid w:val="00726EBB"/>
    <w:rsid w:val="00770E47"/>
    <w:rsid w:val="007D45AF"/>
    <w:rsid w:val="007D6D8F"/>
    <w:rsid w:val="00820A1B"/>
    <w:rsid w:val="00834B2D"/>
    <w:rsid w:val="008A619F"/>
    <w:rsid w:val="008E09BA"/>
    <w:rsid w:val="00910BCE"/>
    <w:rsid w:val="009300F8"/>
    <w:rsid w:val="00A1704F"/>
    <w:rsid w:val="00A35430"/>
    <w:rsid w:val="00A71198"/>
    <w:rsid w:val="00A7654F"/>
    <w:rsid w:val="00AA2600"/>
    <w:rsid w:val="00B21895"/>
    <w:rsid w:val="00B91670"/>
    <w:rsid w:val="00C53A95"/>
    <w:rsid w:val="00D75FB3"/>
    <w:rsid w:val="00DA2557"/>
    <w:rsid w:val="00DD0688"/>
    <w:rsid w:val="00DF70F5"/>
    <w:rsid w:val="00DF7FC2"/>
    <w:rsid w:val="00E2030C"/>
    <w:rsid w:val="00E3777C"/>
    <w:rsid w:val="00E76036"/>
    <w:rsid w:val="00EE7918"/>
    <w:rsid w:val="00F66712"/>
    <w:rsid w:val="00FE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49D3C"/>
  <w15:chartTrackingRefBased/>
  <w15:docId w15:val="{89283B7D-D08D-4892-A8C9-8DDB2AF6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EBB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726EB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aslov2">
    <w:name w:val="heading 2"/>
    <w:basedOn w:val="Normal"/>
    <w:next w:val="Normal"/>
    <w:link w:val="Naslov2Char"/>
    <w:unhideWhenUsed/>
    <w:qFormat/>
    <w:rsid w:val="001A3FD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nhideWhenUsed/>
    <w:qFormat/>
    <w:rsid w:val="001A3FDB"/>
    <w:pPr>
      <w:keepNext/>
      <w:spacing w:before="240" w:after="60" w:line="360" w:lineRule="auto"/>
      <w:jc w:val="center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1A3FDB"/>
    <w:pPr>
      <w:keepNext/>
      <w:spacing w:before="240" w:after="60" w:line="360" w:lineRule="auto"/>
      <w:jc w:val="center"/>
      <w:outlineLvl w:val="3"/>
    </w:pPr>
    <w:rPr>
      <w:rFonts w:ascii="Times New Roman" w:eastAsia="Times New Roman" w:hAnsi="Times New Roman"/>
      <w:b/>
      <w:bCs/>
      <w:sz w:val="24"/>
      <w:szCs w:val="28"/>
    </w:rPr>
  </w:style>
  <w:style w:type="paragraph" w:styleId="Naslov5">
    <w:name w:val="heading 5"/>
    <w:basedOn w:val="1"/>
    <w:next w:val="Normal"/>
    <w:link w:val="Naslov5Char"/>
    <w:uiPriority w:val="9"/>
    <w:unhideWhenUsed/>
    <w:qFormat/>
    <w:rsid w:val="00425E03"/>
    <w:pPr>
      <w:spacing w:before="240" w:after="60" w:line="360" w:lineRule="auto"/>
      <w:outlineLvl w:val="4"/>
    </w:pPr>
    <w:rPr>
      <w:rFonts w:ascii="Times New Roman" w:hAnsi="Times New Roman"/>
      <w:bCs/>
      <w:iCs/>
      <w:szCs w:val="26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C53A95"/>
    <w:pPr>
      <w:spacing w:before="240" w:after="60"/>
      <w:jc w:val="center"/>
      <w:outlineLvl w:val="5"/>
    </w:pPr>
    <w:rPr>
      <w:rFonts w:eastAsia="Times New Roman"/>
      <w:b/>
      <w:bCs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C53A95"/>
    <w:pPr>
      <w:spacing w:before="240" w:after="60"/>
      <w:jc w:val="center"/>
      <w:outlineLvl w:val="6"/>
    </w:pPr>
    <w:rPr>
      <w:rFonts w:eastAsia="Times New Roman"/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157BC"/>
  </w:style>
  <w:style w:type="paragraph" w:styleId="Podnoje">
    <w:name w:val="footer"/>
    <w:basedOn w:val="Normal"/>
    <w:link w:val="Podno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157BC"/>
  </w:style>
  <w:style w:type="paragraph" w:styleId="Tekstbalonia">
    <w:name w:val="Balloon Text"/>
    <w:basedOn w:val="Normal"/>
    <w:link w:val="TekstbaloniaChar"/>
    <w:uiPriority w:val="99"/>
    <w:semiHidden/>
    <w:unhideWhenUsed/>
    <w:rsid w:val="0021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2157BC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E2030C"/>
    <w:pPr>
      <w:jc w:val="center"/>
    </w:pPr>
    <w:rPr>
      <w:b/>
    </w:rPr>
  </w:style>
  <w:style w:type="paragraph" w:customStyle="1" w:styleId="11">
    <w:name w:val="1.1."/>
    <w:basedOn w:val="Normal"/>
    <w:rsid w:val="00E2030C"/>
    <w:pPr>
      <w:jc w:val="center"/>
    </w:pPr>
    <w:rPr>
      <w:b/>
    </w:rPr>
  </w:style>
  <w:style w:type="character" w:customStyle="1" w:styleId="Naslov5Char">
    <w:name w:val="Naslov 5 Char"/>
    <w:link w:val="Naslov5"/>
    <w:uiPriority w:val="9"/>
    <w:rsid w:val="00425E03"/>
    <w:rPr>
      <w:rFonts w:ascii="Times New Roman" w:hAnsi="Times New Roman"/>
      <w:b/>
      <w:bCs/>
      <w:iCs/>
      <w:sz w:val="22"/>
      <w:szCs w:val="26"/>
      <w:lang w:eastAsia="en-US"/>
    </w:rPr>
  </w:style>
  <w:style w:type="character" w:customStyle="1" w:styleId="Naslov6Char">
    <w:name w:val="Naslov 6 Char"/>
    <w:link w:val="Naslov6"/>
    <w:uiPriority w:val="9"/>
    <w:rsid w:val="00C53A95"/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customStyle="1" w:styleId="Naslov7Char">
    <w:name w:val="Naslov 7 Char"/>
    <w:link w:val="Naslov7"/>
    <w:uiPriority w:val="9"/>
    <w:rsid w:val="00C53A95"/>
    <w:rPr>
      <w:rFonts w:ascii="Times New Roman" w:eastAsia="Times New Roman" w:hAnsi="Times New Roman" w:cs="Times New Roman"/>
      <w:b/>
      <w:szCs w:val="24"/>
      <w:lang w:eastAsia="en-US"/>
    </w:rPr>
  </w:style>
  <w:style w:type="paragraph" w:customStyle="1" w:styleId="111">
    <w:name w:val="1.1.1"/>
    <w:basedOn w:val="Normal"/>
    <w:rsid w:val="001A3FDB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</w:rPr>
  </w:style>
  <w:style w:type="character" w:customStyle="1" w:styleId="Naslov2Char">
    <w:name w:val="Naslov 2 Char"/>
    <w:link w:val="Naslov2"/>
    <w:rsid w:val="001A3FD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slov3Char">
    <w:name w:val="Naslov 3 Char"/>
    <w:link w:val="Naslov3"/>
    <w:rsid w:val="001A3FDB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slov4Char">
    <w:name w:val="Naslov 4 Char"/>
    <w:link w:val="Naslov4"/>
    <w:uiPriority w:val="9"/>
    <w:rsid w:val="001A3FDB"/>
    <w:rPr>
      <w:rFonts w:ascii="Times New Roman" w:eastAsia="Times New Roman" w:hAnsi="Times New Roman" w:cs="Times New Roman"/>
      <w:b/>
      <w:bCs/>
      <w:sz w:val="24"/>
      <w:szCs w:val="28"/>
      <w:lang w:eastAsia="en-US"/>
    </w:rPr>
  </w:style>
  <w:style w:type="character" w:customStyle="1" w:styleId="Naslov1Char">
    <w:name w:val="Naslov 1 Char"/>
    <w:link w:val="Naslov1"/>
    <w:rsid w:val="00726EBB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styleId="Brojstranice">
    <w:name w:val="page number"/>
    <w:basedOn w:val="Zadanifontodlomka"/>
    <w:rsid w:val="00726EBB"/>
  </w:style>
  <w:style w:type="character" w:customStyle="1" w:styleId="TekstfusnoteChar">
    <w:name w:val="Tekst fusnote Char"/>
    <w:link w:val="Tekstfusnote"/>
    <w:semiHidden/>
    <w:rsid w:val="00726EBB"/>
    <w:rPr>
      <w:rFonts w:ascii="Times New Roman" w:eastAsia="Times New Roman" w:hAnsi="Times New Roman"/>
      <w:lang w:val="en-US" w:eastAsia="en-US"/>
    </w:rPr>
  </w:style>
  <w:style w:type="paragraph" w:styleId="Tekstfusnote">
    <w:name w:val="footnote text"/>
    <w:basedOn w:val="Normal"/>
    <w:link w:val="TekstfusnoteChar"/>
    <w:semiHidden/>
    <w:rsid w:val="00726EBB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1">
    <w:name w:val="Footnote Text Char1"/>
    <w:uiPriority w:val="99"/>
    <w:semiHidden/>
    <w:rsid w:val="00726EBB"/>
    <w:rPr>
      <w:lang w:eastAsia="en-US"/>
    </w:rPr>
  </w:style>
  <w:style w:type="paragraph" w:customStyle="1" w:styleId="brojdesno2">
    <w:name w:val="brojdesno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">
    <w:name w:val="t-98-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klasa2">
    <w:name w:val="klasa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potpisnik">
    <w:name w:val="potpisni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726EBB"/>
  </w:style>
  <w:style w:type="paragraph" w:customStyle="1" w:styleId="t-119sred">
    <w:name w:val="t-119sred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109curz">
    <w:name w:val="t-109curz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">
    <w:name w:val="n1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">
    <w:name w:val="n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a">
    <w:name w:val="n1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a">
    <w:name w:val="n2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nhideWhenUsed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0">
    <w:name w:val="T-9/8-2"/>
    <w:basedOn w:val="Normal"/>
    <w:rsid w:val="00726EBB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val="en-GB"/>
    </w:rPr>
  </w:style>
  <w:style w:type="paragraph" w:customStyle="1" w:styleId="Clanak0">
    <w:name w:val="Clanak"/>
    <w:next w:val="T-98-20"/>
    <w:rsid w:val="00726EBB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T-109curz0">
    <w:name w:val="T-10/9 curz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i/>
      <w:iCs/>
      <w:sz w:val="21"/>
      <w:szCs w:val="21"/>
      <w:lang w:val="en-GB" w:eastAsia="en-US"/>
    </w:rPr>
  </w:style>
  <w:style w:type="paragraph" w:styleId="Tijeloteksta">
    <w:name w:val="Body Text"/>
    <w:basedOn w:val="Normal"/>
    <w:link w:val="TijelotekstaChar"/>
    <w:rsid w:val="00726EBB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TijelotekstaChar">
    <w:name w:val="Tijelo teksta Char"/>
    <w:link w:val="Tijeloteksta"/>
    <w:rsid w:val="00726EBB"/>
    <w:rPr>
      <w:rFonts w:ascii="Arial" w:eastAsia="Times New Roman" w:hAnsi="Arial" w:cs="Arial"/>
      <w:sz w:val="28"/>
      <w:szCs w:val="24"/>
      <w:lang w:eastAsia="en-US"/>
    </w:rPr>
  </w:style>
  <w:style w:type="paragraph" w:customStyle="1" w:styleId="T-109fett">
    <w:name w:val="T-10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1"/>
      <w:szCs w:val="21"/>
      <w:lang w:val="en-US" w:eastAsia="en-US"/>
    </w:rPr>
  </w:style>
  <w:style w:type="paragraph" w:customStyle="1" w:styleId="T-109sred">
    <w:name w:val="T-10/9 sred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  <w:lang w:val="en-US" w:eastAsia="en-US"/>
    </w:rPr>
  </w:style>
  <w:style w:type="paragraph" w:customStyle="1" w:styleId="T-119fett">
    <w:name w:val="T-11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US" w:eastAsia="en-US"/>
    </w:rPr>
  </w:style>
  <w:style w:type="paragraph" w:customStyle="1" w:styleId="T-119sred0">
    <w:name w:val="T-11/9 sred"/>
    <w:next w:val="T-98-20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sz w:val="23"/>
      <w:szCs w:val="23"/>
      <w:lang w:val="en-US" w:eastAsia="en-US"/>
    </w:rPr>
  </w:style>
  <w:style w:type="character" w:styleId="HTMLpisaistroj">
    <w:name w:val="HTML Typewriter"/>
    <w:rsid w:val="00726EBB"/>
    <w:rPr>
      <w:rFonts w:ascii="Courier New" w:eastAsia="Times New Roman" w:hAnsi="Courier New" w:cs="Courier New"/>
      <w:sz w:val="20"/>
      <w:szCs w:val="20"/>
    </w:rPr>
  </w:style>
  <w:style w:type="paragraph" w:styleId="Tijeloteksta2">
    <w:name w:val="Body Text 2"/>
    <w:basedOn w:val="Normal"/>
    <w:link w:val="Tijeloteksta2Char"/>
    <w:rsid w:val="00726EBB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ijeloteksta2Char">
    <w:name w:val="Tijelo teksta 2 Char"/>
    <w:link w:val="Tijeloteksta2"/>
    <w:rsid w:val="00726EBB"/>
    <w:rPr>
      <w:rFonts w:ascii="Times New Roman" w:eastAsia="Times New Roman" w:hAnsi="Times New Roman"/>
      <w:sz w:val="24"/>
      <w:szCs w:val="24"/>
      <w:lang w:eastAsia="en-US"/>
    </w:rPr>
  </w:style>
  <w:style w:type="paragraph" w:styleId="Obinitekst">
    <w:name w:val="Plain Text"/>
    <w:basedOn w:val="Normal"/>
    <w:link w:val="ObinitekstChar"/>
    <w:rsid w:val="00726EB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ObinitekstChar">
    <w:name w:val="Obični tekst Char"/>
    <w:link w:val="Obinitekst"/>
    <w:rsid w:val="00726EBB"/>
    <w:rPr>
      <w:rFonts w:ascii="Courier New" w:eastAsia="Times New Roman" w:hAnsi="Courier New" w:cs="Courier New"/>
      <w:lang w:val="en-US" w:eastAsia="en-US"/>
    </w:rPr>
  </w:style>
  <w:style w:type="paragraph" w:styleId="Sadraj1">
    <w:name w:val="toc 1"/>
    <w:basedOn w:val="Normal"/>
    <w:next w:val="Normal"/>
    <w:autoRedefine/>
    <w:uiPriority w:val="39"/>
    <w:rsid w:val="00726EBB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2">
    <w:name w:val="toc 2"/>
    <w:basedOn w:val="Normal"/>
    <w:next w:val="Normal"/>
    <w:autoRedefine/>
    <w:uiPriority w:val="39"/>
    <w:rsid w:val="00726EBB"/>
    <w:pPr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3">
    <w:name w:val="toc 3"/>
    <w:basedOn w:val="Normal"/>
    <w:next w:val="Normal"/>
    <w:autoRedefine/>
    <w:uiPriority w:val="39"/>
    <w:rsid w:val="00726EBB"/>
    <w:pPr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veza">
    <w:name w:val="Hyperlink"/>
    <w:uiPriority w:val="99"/>
    <w:unhideWhenUsed/>
    <w:rsid w:val="00726EBB"/>
    <w:rPr>
      <w:color w:val="0000FF"/>
      <w:u w:val="single"/>
    </w:rPr>
  </w:style>
  <w:style w:type="paragraph" w:customStyle="1" w:styleId="t-9-8">
    <w:name w:val="t-9-8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SlijeenaHiperveza">
    <w:name w:val="FollowedHyperlink"/>
    <w:uiPriority w:val="99"/>
    <w:semiHidden/>
    <w:unhideWhenUsed/>
    <w:rsid w:val="00A71198"/>
    <w:rPr>
      <w:color w:val="800080"/>
      <w:u w:val="single"/>
    </w:rPr>
  </w:style>
  <w:style w:type="character" w:customStyle="1" w:styleId="v207invalidact">
    <w:name w:val="v207invalidact"/>
    <w:basedOn w:val="Zadanifontodlomka"/>
    <w:rsid w:val="007D45AF"/>
  </w:style>
  <w:style w:type="paragraph" w:customStyle="1" w:styleId="box476245">
    <w:name w:val="box_476245"/>
    <w:basedOn w:val="Normal"/>
    <w:rsid w:val="002E70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2E7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2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8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e%20Bori&#263;\Documents\Desktop\ZakonTemplate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C7AF-5C1A-49C3-90CC-D921A5DE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ZakonTemplate</Template>
  <TotalTime>4</TotalTime>
  <Pages>5</Pages>
  <Words>2535</Words>
  <Characters>14452</Characters>
  <Application>Microsoft Office Word</Application>
  <DocSecurity>0</DocSecurity>
  <Lines>120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Borić</dc:creator>
  <cp:keywords>Zakon.hr</cp:keywords>
  <cp:lastModifiedBy>Ante Borić</cp:lastModifiedBy>
  <cp:revision>3</cp:revision>
  <dcterms:created xsi:type="dcterms:W3CDTF">2024-02-08T07:28:00Z</dcterms:created>
  <dcterms:modified xsi:type="dcterms:W3CDTF">2024-02-08T07:33:00Z</dcterms:modified>
</cp:coreProperties>
</file>