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6233B" w14:textId="77777777" w:rsidR="006E62DA" w:rsidRPr="00453D55" w:rsidRDefault="006E62DA" w:rsidP="00453D55">
      <w:pPr>
        <w:spacing w:beforeLines="30" w:before="72" w:afterLines="30" w:after="72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69D2682C" w14:textId="77777777" w:rsidR="00453D55" w:rsidRDefault="00453D55" w:rsidP="00453D55">
      <w:pPr>
        <w:spacing w:beforeLines="30" w:before="72" w:afterLines="30" w:after="72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76617843" w14:textId="77777777" w:rsidR="00453D55" w:rsidRDefault="00453D55" w:rsidP="00453D55">
      <w:pPr>
        <w:spacing w:beforeLines="30" w:before="72" w:afterLines="30" w:after="72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4D974631" w14:textId="77777777" w:rsidR="00453D55" w:rsidRPr="00453D55" w:rsidRDefault="00453D55" w:rsidP="00453D55">
      <w:pPr>
        <w:spacing w:beforeLines="30" w:before="72" w:afterLines="30" w:after="72"/>
        <w:rPr>
          <w:rFonts w:ascii="Times New Roman" w:eastAsia="Times New Roman" w:hAnsi="Times New Roman"/>
          <w:color w:val="231F20"/>
          <w:sz w:val="20"/>
          <w:szCs w:val="20"/>
          <w:lang w:eastAsia="hr-HR"/>
        </w:rPr>
      </w:pPr>
    </w:p>
    <w:p w14:paraId="0190B2EB" w14:textId="437FFD30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b/>
          <w:bCs/>
          <w:color w:val="231F20"/>
          <w:sz w:val="32"/>
          <w:szCs w:val="32"/>
        </w:rPr>
      </w:pPr>
      <w:r w:rsidRPr="00453D55">
        <w:rPr>
          <w:b/>
          <w:bCs/>
          <w:color w:val="231F20"/>
          <w:sz w:val="32"/>
          <w:szCs w:val="32"/>
        </w:rPr>
        <w:t>ZAKON O DRŽAVNOJ INFORMACIJSKOJ INFRASTRUKTURI</w:t>
      </w:r>
    </w:p>
    <w:p w14:paraId="5226AD9B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</w:p>
    <w:p w14:paraId="272C97FF" w14:textId="2186F9B7" w:rsidR="00453D55" w:rsidRPr="00453D55" w:rsidRDefault="00453D55" w:rsidP="00453D55">
      <w:pPr>
        <w:pStyle w:val="Naslov3"/>
      </w:pPr>
      <w:r w:rsidRPr="00453D55">
        <w:t>I. UVODNE ODREDBE</w:t>
      </w:r>
    </w:p>
    <w:p w14:paraId="74CFD51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Predmet Zakona i primjena</w:t>
      </w:r>
    </w:p>
    <w:p w14:paraId="642E0B2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1.</w:t>
      </w:r>
    </w:p>
    <w:p w14:paraId="556F109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Ovim se Zakonom utvrđuju prava, obveze i odgovornosti korisnika državne informacijske infrastrukture vezano za uspostavu, razvoj i upravljanje državnom informacijskom infrastrukturom, sadržaj, svrha, uvjeti, kao i obveze u primjeni i korištenju državne informacijske infrastrukture u njihovu radu, pružanju javnih e-usluga te u elektroničkoj komunikaciji prema fizičkim i pravnim osobama.</w:t>
      </w:r>
    </w:p>
    <w:p w14:paraId="20DD466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Ovaj se Zakon ne primjenjuje na informacijske sustave u kojima se postupa s klasificiranim podacima.</w:t>
      </w:r>
    </w:p>
    <w:p w14:paraId="63E1CDE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Ovaj se Zakon ne primjenjuje na tijela sigurnosno-obavještajnog sustava, osim članka 8. stavka 6. ovoga Zakona.</w:t>
      </w:r>
    </w:p>
    <w:p w14:paraId="68A6035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Svrha i cilj Zakona</w:t>
      </w:r>
    </w:p>
    <w:p w14:paraId="43DC1A2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2.</w:t>
      </w:r>
    </w:p>
    <w:p w14:paraId="6DE4C87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Svrha ovoga Zakona je osiguranje učinkovitosti rada korisnika digitalizacijom procesa, unaprjeđenjima i modernizacijom usluga, primjenom načela državne informacijske infrastrukture i interoperabilnih rješenja kroz korištenje informacijsko-komunikacijskih tehnoloških rješenja.</w:t>
      </w:r>
    </w:p>
    <w:p w14:paraId="7CEBB68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Cilj ovoga Zakona je unaprjeđenje načina korištenja i primjene informacijsko-komunikacijske tehnologije u digitalizaciji procesa, međusobnoj elektroničkoj komunikaciji i sigurnoj razmjeni podataka između korisnika državne informacijske infrastrukture, kao i u pružanju e-usluga u nacionalnim i prekograničnim slučajevima, za sigurnu elektroničku komunikaciju i dostavu akata korisnicima te fizičkim i pravnim osobama, te za mrežni pristup različitim informacijama i otvorenim podacima koje objavljuju korisnici državne informacijske infrastrukture.</w:t>
      </w:r>
    </w:p>
    <w:p w14:paraId="79C63A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Osnovna načela</w:t>
      </w:r>
    </w:p>
    <w:p w14:paraId="44C00CA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3.</w:t>
      </w:r>
    </w:p>
    <w:p w14:paraId="16B26B1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otvorenih podataka </w:t>
      </w:r>
      <w:r w:rsidRPr="00453D55">
        <w:rPr>
          <w:color w:val="231F20"/>
          <w:sz w:val="20"/>
          <w:szCs w:val="20"/>
        </w:rPr>
        <w:t>podrazumijeva da su podaci iz registara dostupni svim korisnicima sukladno propisima o zaštiti osobnih podataka i propisima o pravu na pristup informacijama, uz poštivanje obveze ograničavanja pristupa podacima propisane zakonima kojima se uređuje područje tajnosti podataka i informacijske sigurnosti.</w:t>
      </w:r>
    </w:p>
    <w:p w14:paraId="55C4087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jednokratnog unosa </w:t>
      </w:r>
      <w:r w:rsidRPr="00453D55">
        <w:rPr>
          <w:color w:val="231F20"/>
          <w:sz w:val="20"/>
          <w:szCs w:val="20"/>
        </w:rPr>
        <w:t>podataka podrazumijeva da se podaci unose u registre samo jednom, te su tim jednokratnim unosom dostupni svim korisnicima.</w:t>
      </w:r>
    </w:p>
    <w:p w14:paraId="5C8550E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usmjerenosti </w:t>
      </w:r>
      <w:r w:rsidRPr="00453D55">
        <w:rPr>
          <w:color w:val="231F20"/>
          <w:sz w:val="20"/>
          <w:szCs w:val="20"/>
        </w:rPr>
        <w:t>podrazumijeva da se državna informacijska infrastruktura i njezine zajedničke komponente razvijaju sukladno potrebama fizičkih i pravnih osoba koje koriste elektroničke usluge.</w:t>
      </w:r>
    </w:p>
    <w:p w14:paraId="017ED84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korisnosti </w:t>
      </w:r>
      <w:r w:rsidRPr="00453D55">
        <w:rPr>
          <w:color w:val="231F20"/>
          <w:sz w:val="20"/>
          <w:szCs w:val="20"/>
        </w:rPr>
        <w:t>podrazumijeva jedinstveno upravljanje razvojem državne informacijske infrastrukture od strane Vlade Republike Hrvatske koje se odvija na osnovi usuglašavanja potreba i prioriteta.</w:t>
      </w:r>
    </w:p>
    <w:p w14:paraId="7A3B4A5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usklađivanja </w:t>
      </w:r>
      <w:r w:rsidRPr="00453D55">
        <w:rPr>
          <w:color w:val="231F20"/>
          <w:sz w:val="20"/>
          <w:szCs w:val="20"/>
        </w:rPr>
        <w:t>podrazumijeva usklađivanje planova i projekata digitalizacije s normama i drugim odrednicama izgradnje informacijske infrastrukture u Republici Hrvatskoj i Europskoj uniji.</w:t>
      </w:r>
    </w:p>
    <w:p w14:paraId="4FA0012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skalabilnosti </w:t>
      </w:r>
      <w:r w:rsidRPr="00453D55">
        <w:rPr>
          <w:color w:val="231F20"/>
          <w:sz w:val="20"/>
          <w:szCs w:val="20"/>
        </w:rPr>
        <w:t>podrazumijeva sposobnost sustava da kontinuirano podnosi veće opterećenje sustava implementacijom poslovnih procesa koji vode do veće učinkovitosti.</w:t>
      </w:r>
    </w:p>
    <w:p w14:paraId="48597C8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(7)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korištenja autentičnih izvora podataka </w:t>
      </w:r>
      <w:r w:rsidRPr="00453D55">
        <w:rPr>
          <w:color w:val="231F20"/>
          <w:sz w:val="20"/>
          <w:szCs w:val="20"/>
        </w:rPr>
        <w:t>podrazumijeva korištenje podataka iz registara.</w:t>
      </w:r>
    </w:p>
    <w:p w14:paraId="2C0C1453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(8) </w:t>
      </w:r>
      <w:r w:rsidRPr="00453D55">
        <w:rPr>
          <w:rStyle w:val="kurziv"/>
          <w:color w:val="231F20"/>
          <w:sz w:val="20"/>
          <w:szCs w:val="20"/>
          <w:bdr w:val="none" w:sz="0" w:space="0" w:color="auto" w:frame="1"/>
        </w:rPr>
        <w:t>Načelo racionalizacije </w:t>
      </w:r>
      <w:r w:rsidRPr="00453D55">
        <w:rPr>
          <w:color w:val="231F20"/>
          <w:sz w:val="20"/>
          <w:szCs w:val="20"/>
        </w:rPr>
        <w:t>podrazumijeva ekonomičnu uspostavu državne informacijske infrastrukture na razini svih korisnika potrebne za učinkovito obavljanje poslova uz obvezu korištenja dostupnih zajedničkih komponenti državne informacijske infrastrukture, elektroničkih komunikacijskih mreža i infrastrukture, uz što manje troškove razvoja i bez stvaranja redundantnih sustava.</w:t>
      </w:r>
    </w:p>
    <w:p w14:paraId="48E36ED9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6E7F1812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42E4AB88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51D39323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3ECDA910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6D1DA54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66748B97" w14:textId="77777777" w:rsidR="00453D55" w:rsidRPr="00453D55" w:rsidRDefault="00453D55" w:rsidP="00453D55">
      <w:pPr>
        <w:pStyle w:val="Naslov3"/>
      </w:pPr>
      <w:r w:rsidRPr="00453D55">
        <w:lastRenderedPageBreak/>
        <w:t>II. DRŽAVNA INFORMACIJSKA INFRASTRUKTURA</w:t>
      </w:r>
    </w:p>
    <w:p w14:paraId="201C1F1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Sadržaj</w:t>
      </w:r>
    </w:p>
    <w:p w14:paraId="71E152C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4.</w:t>
      </w:r>
    </w:p>
    <w:p w14:paraId="6C326B1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Državna informacijska infrastruktura predstavlja zajedničku informacijsko-komunikacijsku tehnološku osnovicu za rad i razvoj sustava obveznika primjene ovoga Zakona.</w:t>
      </w:r>
    </w:p>
    <w:p w14:paraId="6542814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Informacijsko-komunikacijska tehnološka rješenja predstavljaju skup elektroničkih usluga, zajedničkih komponenti, podatkovnih centara, sklopovske i programske osnovice potrebne za rad informacijskih sustava, registara za pohranu podataka i prikladnih informacijskih sustava za njihovu razmjenu te računalnih mreža, uz primjenu standarda, pravila i smjernica.</w:t>
      </w:r>
    </w:p>
    <w:p w14:paraId="4365943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Svrha</w:t>
      </w:r>
    </w:p>
    <w:p w14:paraId="2AF420F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5.</w:t>
      </w:r>
    </w:p>
    <w:p w14:paraId="72A2019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Svrha državne informacijske infrastrukture je osigurati korisnicima digitalizaciju procesa, konsolidaciju i optimizaciju troškova, međusobnu komunikaciju i razmjenu podataka, ujednačiti način pružanja e-usluga i elektroničku komunikaciju te dostavu akata fizičkim i pravnim osobama, omogućiti jedinstveni pristup e-uslugama i njihovo sigurno korištenje te objediniti elektroničku komunikaciju s korisnicima državne informacijske infrastrukture.</w:t>
      </w:r>
    </w:p>
    <w:p w14:paraId="4C23F7D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Korisnici državne informacijske infrastrukture</w:t>
      </w:r>
    </w:p>
    <w:p w14:paraId="1AE7C1D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6.</w:t>
      </w:r>
    </w:p>
    <w:p w14:paraId="4804C4B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Korisnici državne informacijske infrastrukture dužni su državnu informacijsku infrastrukturu koristiti u skladu s ovim Zakonom.</w:t>
      </w:r>
    </w:p>
    <w:p w14:paraId="79FBE90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Korisnici državne informacijske infrastrukture su tijela državne uprave i druga državna tijela, jedinice lokalne i područne (regionalne) samouprave, pravne osobe s javnim ovlastima, javne ustanove čiji je jedini osnivač Republika Hrvatska, javne ustanove čiji je jedan od osnivača jedinica lokalne ili područne (regionalne) samouprave, gospodarski subjekti i neprofitne pravne osobe.</w:t>
      </w:r>
    </w:p>
    <w:p w14:paraId="5028EE5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Obveznost korištenja državne informacijske infrastrukture</w:t>
      </w:r>
    </w:p>
    <w:p w14:paraId="4D4B7BA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7.</w:t>
      </w:r>
    </w:p>
    <w:p w14:paraId="63D3BAE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Tijela državne uprave, druga državna tijela i javne ustanove čiji je jedini osnivač Republika Hrvatska obvezni su koristiti državnu informacijsku infrastrukturu.</w:t>
      </w:r>
    </w:p>
    <w:p w14:paraId="4CB5950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Obveznici iz stavka 1. ovoga članka mogu putem tijela državne uprave nadležnog za digitalnu transformaciju zatražiti izuzeće od korištenja dijelova državne informacijske infrastrukture zbog organizacijskih, tehnoloških ili sigurnosnih razloga.</w:t>
      </w:r>
    </w:p>
    <w:p w14:paraId="6D22B2A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Odluku o izuzeću od obveze korištenja iz stavka 2. ovoga članka donosi Vlada Republike Hrvatske, na prijedlog tijela državne uprave nadležnog za digitalnu transformaciju.</w:t>
      </w:r>
    </w:p>
    <w:p w14:paraId="672BFE8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Mogućnost korištenja državne informacijske infrastrukture</w:t>
      </w:r>
    </w:p>
    <w:p w14:paraId="1DD0E08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8.</w:t>
      </w:r>
    </w:p>
    <w:p w14:paraId="71437B0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Jedinice lokalne i područne (regionalne) samouprave i javne ustanove čiji je jedan od osnivača jedinica lokalne ili područne (regionalne) samouprave mogu, na vlastiti zahtjev, koristiti državnu informacijsku infrastrukturu, u skladu s ovim Zakonom.</w:t>
      </w:r>
    </w:p>
    <w:p w14:paraId="44D4AF4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Pravne osobe s javnim ovlastima mogu, na vlastiti zahtjev, koristiti državnu informacijsku infrastrukturu, u skladu s ovim Zakonom.</w:t>
      </w:r>
    </w:p>
    <w:p w14:paraId="2E547BD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Državnu informacijsku infrastrukturu mogu, na vlastiti zahtjev, koristiti i gospodarski subjekti i neprofitne pravne osobe, u skladu s ovim Zakonom.</w:t>
      </w:r>
    </w:p>
    <w:p w14:paraId="7A1F295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Na temelju zahtjeva jedinice lokalne ili područne (regionalne) samouprave, javne ustanove čiji je jedan od osnivača jedinica lokalne ili područne (regionalne) samouprave, pravne osobe s javnim ovlastima, gospodarskih subjekata i neprofitnih pravnih osoba, korištenje državne informacijske infrastrukture odobrava tijelo državne uprave nadležno za digitalnu transformaciju u skladu s ovim Zakonom.</w:t>
      </w:r>
    </w:p>
    <w:p w14:paraId="1882BB3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Odluku o suspenziji odnosno prestanku prava korištenja državne informacijske infrastrukture kad se korisnik ne pridržava odredbi ovoga Zakona koje se odnose na pristup, funkcioniranje i/ili korištenje državne informacijske infrastrukture donosi čelnik tijela državne uprave nadležnog za digitalnu transformaciju.</w:t>
      </w:r>
    </w:p>
    <w:p w14:paraId="6A54EC2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 Tijela sigurnosno-obavještajnog sustava mogu, na vlastiti zahtjev, koristiti državnu informacijsku infrastrukturu sukladno svojim potrebama i procjeni.</w:t>
      </w:r>
    </w:p>
    <w:p w14:paraId="56F42600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(7) Uvjete i način korištenja državne informacijske infrastrukture za sve kategorije korisnika iz ovoga članka propisuje Vlada Republike Hrvatske uredbom iz članka 10. ovoga Zakona.</w:t>
      </w:r>
    </w:p>
    <w:p w14:paraId="14DD834A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26B9516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6F62B0A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lastRenderedPageBreak/>
        <w:t>Korištenje državne informacijske infrastrukture za gospodarske subjekte i neprofitne pravne osobe</w:t>
      </w:r>
    </w:p>
    <w:p w14:paraId="3820E5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9.</w:t>
      </w:r>
    </w:p>
    <w:p w14:paraId="6111DEC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Gospodarskim subjektima i neprofitnim pravnim osobama odobrit će se, na njihov zahtjev, korištenje državne informacijske infrastrukture ako bi to bilo u skladu s aktima strateškog planiranja ili planovima i ne bi negativno utjecalo na sigurnost, pouzdanost i raspoloživost državne informacijske infrastrukture, te ako bi bilo od bitnog utjecaja na gospodarstvo ili za ostvarenje javnih interesa, žurnije postupanje u kriznim situacijama ili bi znatno unaprijedilo digitalizaciju društva.</w:t>
      </w:r>
    </w:p>
    <w:p w14:paraId="059C72B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Za spajanje na državnu informacijsku infrastrukturu plaća se naknada troškova koja je prihod državnog proračuna.</w:t>
      </w:r>
    </w:p>
    <w:p w14:paraId="5DEA1BC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Uvjete i način korištenja te metodologiju izračuna troškova korištenja državne informacijske infrastrukture za gospodarske subjekte i neprofitne pravne osobe propisuje Vlada Republike Hrvatske uredbom iz članka 10. ovoga Zakona.</w:t>
      </w:r>
    </w:p>
    <w:p w14:paraId="7938120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Uvjeti i način korištenja državne informacijske infrastrukture</w:t>
      </w:r>
    </w:p>
    <w:p w14:paraId="7717AE7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10.</w:t>
      </w:r>
    </w:p>
    <w:p w14:paraId="628D000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Vlada Republike Hrvatske uredbom o državnoj informacijskoj infrastrukturi propisuje uvjete i način korištenja te metodologiju izračuna troškova korištenja državne informacijske infrastrukture, organizacijske i tehničke standarde za povezivanje na državnu informacijsku infrastrukturu, uvjete i aktivnosti nužne za pokretanje, razvoj i nadzor projekata vezanih za upravljanje, razvijanje i održavanje državne informacijske infrastrukture, sadržaj i način vođenja informacijskog sustava za koordinaciju projekata državne informacijske infrastrukture (u daljnjem tekstu: ProDII), upravljanje i korištenje mreža državne informacijske infrastrukture, upravljanje i korištenje zajedničkih komponenti, način razvoja i pružanja e-usluga, način procjene važnosti registra za javnu sigurnost, postupak proglašenja određenog registra važnim za javnu sigurnost te ostale elemente nužne za rad državne informacijske infrastrukture.</w:t>
      </w:r>
    </w:p>
    <w:p w14:paraId="564786B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Kibernetička sigurnost</w:t>
      </w:r>
    </w:p>
    <w:p w14:paraId="11087A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11.</w:t>
      </w:r>
    </w:p>
    <w:p w14:paraId="0D50F7D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Za dijelove državne informacijske infrastrukture koji se mogu definirati kao proizvod, usluga, proces ili sustav informacijsko-komunikacijske tehnologije, tijelo državne uprave nadležno za digitalnu transformaciju određuje primjenu jamčene razine kibernetičke sigurnosti i shemu kibernetičke sigurnosne certifikacije, sukladno propisima kojima se uređuje područje kibernetičke sigurnosne certifikacije.</w:t>
      </w:r>
    </w:p>
    <w:p w14:paraId="7640BD6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Primjenu jamčene razine kibernetičke sigurnosti i sheme kibernetičke sigurnosne certifikacije, iz stavka 1. ovoga članka, propisuje čelnik tijela državne uprave nadležnog za digitalnu transformaciju pravilnikom.</w:t>
      </w:r>
    </w:p>
    <w:p w14:paraId="2CB02C5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Informacijski sustav za koordinaciju projekata državne informacijske infrastrukture</w:t>
      </w:r>
    </w:p>
    <w:p w14:paraId="7DA2819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12.</w:t>
      </w:r>
    </w:p>
    <w:p w14:paraId="5E52523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Za potrebe praćenja provedbe i koordinacije projekata državne informacijske infrastrukture uspostavljen je ProDII.</w:t>
      </w:r>
    </w:p>
    <w:p w14:paraId="172942E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Projekt državne informacijske infrastrukture je vremenski određen skup međusobno povezanih aktivnosti s ciljem uspostave državne informacijske infrastrukture i njezinih zajedničkih komponenti.</w:t>
      </w:r>
    </w:p>
    <w:p w14:paraId="24F95F5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Informacijskim sustavom iz stavka 1. ovoga članka upravlja, razvija ga i odražava tijelo državne uprave nadležno za digitalnu transformaciju.</w:t>
      </w:r>
    </w:p>
    <w:p w14:paraId="0DCBF70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Pregled projekata unesenih u ProDII je javan.</w:t>
      </w:r>
    </w:p>
    <w:p w14:paraId="64D1BB7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Obveznici iz članka 7. ovoga Zakona i korisnici iz članka 8. stavaka 1. i 2. ovoga Zakona dužni su u ProDII unijeti sve projekte čiji su rezultati u uporabi bez obzira na vrijeme provedbe projekta, planirane projekte, kao i projekte u tijeku koji se povezuju na državnu informacijsku infrastrukturu u svrhu njihove objave.</w:t>
      </w:r>
    </w:p>
    <w:p w14:paraId="5D12775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 Obveznici iz članka 7. ovoga Zakona i korisnici iz članka 8. stavaka 1. i 2. ovoga Zakona dužni su unositi nove projekte državne informacijske infrastrukture i izmjene u projektima u roku od 30 dana od dana početka projekta odnosno nastanka izmjene.</w:t>
      </w:r>
    </w:p>
    <w:p w14:paraId="2879F32B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(7) Sadržaj i način vođenja ProDII-ja propisuje Vlada Republike Hrvatske uredbom iz članka 10. ovoga Zakona.</w:t>
      </w:r>
    </w:p>
    <w:p w14:paraId="7320AD00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706E5CD4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0470DFC9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08D9C6C4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2E3A0E62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2054B248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2AF0D7D0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6FD4764C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4269B42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69727DED" w14:textId="77777777" w:rsidR="00453D55" w:rsidRPr="00453D55" w:rsidRDefault="00453D55" w:rsidP="00453D55">
      <w:pPr>
        <w:pStyle w:val="Naslov3"/>
      </w:pPr>
      <w:r w:rsidRPr="00453D55">
        <w:lastRenderedPageBreak/>
        <w:t>III. E-USLUGE</w:t>
      </w:r>
    </w:p>
    <w:p w14:paraId="6855EDF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Cilj</w:t>
      </w:r>
    </w:p>
    <w:p w14:paraId="4397537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13.</w:t>
      </w:r>
    </w:p>
    <w:p w14:paraId="1F6A705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Javne elektroničke usluge (u daljnjem tekstu: e-usluge) su usluge koje korisnici pružaju fizičkim ili pravnim osobama elektroničkim putem.</w:t>
      </w:r>
    </w:p>
    <w:p w14:paraId="5164D7E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Obveznici iz članka 7. ovoga Zakona i korisnici iz članka 8. stavaka 1. i 2. ovoga Zakona dužni su razvijati elektroničke usluge iz svoga djelokruga, s ciljem administrativnog rasterećenja i poboljšanja korisničkog iskustva fizičkih i pravnih osoba.</w:t>
      </w:r>
    </w:p>
    <w:p w14:paraId="24BC97E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Razvoj i pružanje e-usluga</w:t>
      </w:r>
    </w:p>
    <w:p w14:paraId="721B8B7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14.</w:t>
      </w:r>
    </w:p>
    <w:p w14:paraId="25C1862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Obveznici iz članka 7. ovoga Zakona i korisnici iz članka 8. stavaka 1. i 2. ovoga Zakona pri razvoju novih i nadogradnji postojećih e-usluga obvezni su koristiti državnu informacijsku infrastrukturu i njezine zajedničke komponente te postupati sukladno smjernicama iz stavka 3. ovoga članka kojima se uređuje standardizacija razvoja e-usluga.</w:t>
      </w:r>
    </w:p>
    <w:p w14:paraId="0C447C2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Obveznici iz članka 7. ovoga Zakona i korisnici iz članka 8. stavaka 1. i 2. ovoga Zakona dužni su pružati e-usluge koristeći sve dostupne zajedničke komponente određene uredbom iz članka 10. ovoga Zakona.</w:t>
      </w:r>
    </w:p>
    <w:p w14:paraId="3A5CCDC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Smjernicama se utvrđuju aktivnosti i mjere kojima se osigurava jednoobraznost e-usluga korisnika iz ovoga članka, minimalna razina kvalitete i digitalne pristupačnosti, sigurnost, kao i ujednačeni pristup pri razvoju novih i nadogradnjama postojećih e-usluga korisnika iz ovoga članka.</w:t>
      </w:r>
    </w:p>
    <w:p w14:paraId="154EEF5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Smjernice iz stavka 3. ovoga članka donosi Vlada Republike Hrvatske, na prijedlog tijela državne uprave nadležnog za digitalnu transformaciju.</w:t>
      </w:r>
    </w:p>
    <w:p w14:paraId="104077E2" w14:textId="77777777" w:rsidR="00453D55" w:rsidRPr="00453D55" w:rsidRDefault="00453D55" w:rsidP="00453D55">
      <w:pPr>
        <w:pStyle w:val="Naslov3"/>
      </w:pPr>
      <w:r w:rsidRPr="00453D55">
        <w:t>IV. SUSTAV E-GRAĐANI</w:t>
      </w:r>
    </w:p>
    <w:p w14:paraId="1443D11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Korištenje sustava</w:t>
      </w:r>
    </w:p>
    <w:p w14:paraId="08B893A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15.</w:t>
      </w:r>
    </w:p>
    <w:p w14:paraId="2C0642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E-Građani je informacijski sustav koji omogućava pristup javnim informacijama i e-uslugama na jednom mjestu, kao i siguran pristup osobnim podacima putem e-usluga i elektroničku komunikaciju korisnika državne informacijske infrastrukture s fizičkim i pravnim osobama.</w:t>
      </w:r>
    </w:p>
    <w:p w14:paraId="0732A6A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Obveznici iz članka 7. ovoga Zakona i korisnici iz članka 8. stavaka 1. i 2. ovoga Zakona obvezni su koristiti sustav e-Građani i sve njegove dijelove za pružanje e-usluga, kao i za elektroničku komunikaciju u svrhu dostave obavijesti i akata fizičkim i pravnim osobama te za objavu pravodobnih i točnih informacija o poslovima koje obavljaju i uslugama koje pružaju.</w:t>
      </w:r>
    </w:p>
    <w:p w14:paraId="3D3059A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Obveznici iz članka 7. ovoga Zakona i korisnici iz članka 8. stavaka 1. i 2. ovoga Zakona dužni su akte izrađene u elektroničkom obliku dostavljati putem uspostavljenih zajedničkih komponenti.</w:t>
      </w:r>
    </w:p>
    <w:p w14:paraId="02ECB86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Elektronički dokument koji se dostavlja primatelju mora biti zaštićen korištenjem kvalificiranih sredstava kvalificiranih usluga povjerenja.</w:t>
      </w:r>
    </w:p>
    <w:p w14:paraId="4E6B4BF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Uspostavu organizacijskih i tehničkih mjera potrebnih za dostavu akata iz stavka 4. ovoga članka dužne su provesti odgovorne osobe u obveznicima iz članka 7. ovoga Zakona i korisnicima iz članka 8. stavaka 1. i 2. ovoga Zakona.</w:t>
      </w:r>
    </w:p>
    <w:p w14:paraId="054E28F0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 Uvjeti i način korištenja, prava i obveze fizičkih i pravnih osoba, vezana za korištenje sustava e-Građani, detaljnije se uređuju uredbom iz članka 10. ovoga Zakona.</w:t>
      </w:r>
    </w:p>
    <w:p w14:paraId="22854061" w14:textId="77777777" w:rsidR="00453D55" w:rsidRPr="00453D55" w:rsidRDefault="00453D55" w:rsidP="00453D55">
      <w:pPr>
        <w:pStyle w:val="Naslov3"/>
      </w:pPr>
      <w:r w:rsidRPr="00453D55">
        <w:t>V. CENTAR DIJELJENIH USLUGA</w:t>
      </w:r>
    </w:p>
    <w:p w14:paraId="6D037DC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Opće odredbe</w:t>
      </w:r>
    </w:p>
    <w:p w14:paraId="39FC885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16.</w:t>
      </w:r>
    </w:p>
    <w:p w14:paraId="28075E0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Centar dijeljenih usluga (u daljnjem tekstu: CDU) je organizacijsko-poslovni model pružanja dijeljenih usluga korisnicima.</w:t>
      </w:r>
    </w:p>
    <w:p w14:paraId="3DAF060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CDU operativno uspostavlja tehničku infrastrukturu za korištenje usluge istih programskih rješenja, usluge korištenja zajedničke informacijsko-komunikacijske infrastrukture, tehničke usluge, usluge smještaja opreme informacijsko-komunikacijske tehnologije te savjetodavne usluge u primjeni informacijsko-komunikacijske tehnologije s ciljem objedinjavanja i racionalizacije državne informacijske infrastrukture te ujednačavanja postupanja tijela državne uprave i drugih državnih tijela, jedinica lokalne i područne (regionalne) samouprave, pravnih osoba s javnim ovlastima, javnih ustanova čiji je jedini osnivač Republika Hrvatska i javnih ustanova čiji je jedan od osnivača jedinica lokalne ili područne (regionalne) samouprave te pružanja dijeljenih usluga korisnicima.</w:t>
      </w:r>
    </w:p>
    <w:p w14:paraId="7E86884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lastRenderedPageBreak/>
        <w:t>Korištenje CDU-a</w:t>
      </w:r>
    </w:p>
    <w:p w14:paraId="0A26771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17.</w:t>
      </w:r>
    </w:p>
    <w:p w14:paraId="00B4684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Tijela državne uprave i druga državna tijela te javne ustanove čiji je jedini osnivač Republika Hrvatska obvezni su koristiti usluge korištenja smještaja državne informacijske infrastrukture u CDU-u.</w:t>
      </w:r>
    </w:p>
    <w:p w14:paraId="2411565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Ostali korisnici mogu koristiti usluge korištenja smještaja državne informacijske infrastrukture ovisno o raspoloživosti kapaciteta CDU-a.</w:t>
      </w:r>
    </w:p>
    <w:p w14:paraId="482A2CA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Sve usluge CDU-a pojedinačno se određuju katalogom usluga koji predlažu pojedini pružatelji usluga CDU-a, a objavljuje ih tijelo državne uprave nadležno za digitalnu transformaciju.</w:t>
      </w:r>
    </w:p>
    <w:p w14:paraId="15011C3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Popis pružatelja usluga CDU-a, katalog usluga, način financiranja, upravljanje, tehničke preduvjete i razvoj CDU-a te način i uvjete pružanja i korištenja usluga CDU-a propisuje Vlada Republike Hrvatske uredbom iz članka 10. ovoga Zakona.</w:t>
      </w:r>
    </w:p>
    <w:p w14:paraId="66A34117" w14:textId="77777777" w:rsidR="00453D55" w:rsidRPr="00453D55" w:rsidRDefault="00453D55" w:rsidP="00D40F6A">
      <w:pPr>
        <w:pStyle w:val="Naslov3"/>
      </w:pPr>
      <w:r w:rsidRPr="00453D55">
        <w:t>VI. DIJELJENE USLUGE</w:t>
      </w:r>
    </w:p>
    <w:p w14:paraId="2004FF8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Zajedničke komponente državne informacijske infrastrukture</w:t>
      </w:r>
    </w:p>
    <w:p w14:paraId="7ACB8E4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18.</w:t>
      </w:r>
    </w:p>
    <w:p w14:paraId="6E1ED28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Zajedničke komponente državne informacijske infrastrukture su servisi, informacijski sustavi i gradivni blokovi ključnih elemenata za elektroničku identifikaciju, autentifikaciju i autorizaciju te upravljanje ovlaštenjima, za elektroničku komunikaciju i dostavu akata, za elektroničku naplatu, za izradu ili verifikaciju e-potpisa ili e-pečata, te ostale komponente koje za cilj imaju povećanje učinkovitosti korisnika i pojednostavnjenje izgradnje njihovih informacijskih sustava.</w:t>
      </w:r>
    </w:p>
    <w:p w14:paraId="2F80361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Tijelo državne uprave nadležno za digitalnu transformaciju dužno je uvrstiti svaku zajedničku komponentu iz stavka 1. ovoga članka u katalog usluga iz članka 17. stavka 3. ovoga Zakona, s opisom, funkcionalnostima i ostalim sastavnicama koju ta komponenta sadržava.</w:t>
      </w:r>
    </w:p>
    <w:p w14:paraId="64A7626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Popis zajedničkih komponenti, upravljanje, tehničke preduvjete, pravila i uvjete korištenja propisuje Vlada Republike Hrvatske uredbom iz članka 10. ovoga Zakona.</w:t>
      </w:r>
    </w:p>
    <w:p w14:paraId="0477BC2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Tijelo državne uprave nadležno za digitalnu transformaciju u svrhu uspostave dijeljenih usluga i donošenja strateških odluka ima pravo pristupiti, prikupiti, spajati i ponovno upotrebljavati podatke iz svih raspoloživih administrativnih izvora sukladno propisima o zaštiti osobnih podataka.</w:t>
      </w:r>
    </w:p>
    <w:p w14:paraId="007AD64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Središnji sustav interoperabilnosti</w:t>
      </w:r>
    </w:p>
    <w:p w14:paraId="037A2F2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19.</w:t>
      </w:r>
    </w:p>
    <w:p w14:paraId="017036E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Središnji sustav interoperabilnosti je sustav koji omogućava sigurnu razmjenu podataka između različitih informacijskih sustava i elektroničkih usluga i obuhvaća elemente potrebne za realizaciju e-usluga i funkcioniranje sustava korisnika, a koristi se za osiguravanje sposobnosti različitih sustava i usluga da međusobno surađuju.</w:t>
      </w:r>
    </w:p>
    <w:p w14:paraId="48F6F65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Interoperabilnost predstavlja sposobnost dvaju ili više računalnih informacijskih sustava da, kroz poslovne procese koje podržavaju, međusobno razmjenjuju i koriste podatke u svrhu ostvarivanja obostrano korisnih ciljeva, uključujući dijeljenje informacija i znanja između tih organizacija.</w:t>
      </w:r>
    </w:p>
    <w:p w14:paraId="45547D6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Središnji sustav interoperabilnosti dio je državne informacijske infrastrukture.</w:t>
      </w:r>
    </w:p>
    <w:p w14:paraId="555BFBE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Dijelovi središnjeg sustava interoperabilnosti uređuju se uredbom iz članka 10. ovoga Zakona.</w:t>
      </w:r>
    </w:p>
    <w:p w14:paraId="44DC00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Obveznici iz članka 7. ovoga Zakona i korisnici iz članka 8. ovoga Zakona obvezni su koristiti središnji sustav interoperabilnosti za razmjenu podataka iz registara koji nisu klasificirani stupnjem tajnosti podataka.</w:t>
      </w:r>
    </w:p>
    <w:p w14:paraId="470CD73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 Interoperabilnost informacijskih sustava korisnika iz stavka 5. ovoga članka ostvaruje se razmjenom podataka putem središnjeg sustava interoperabilnosti.</w:t>
      </w:r>
    </w:p>
    <w:p w14:paraId="52A93E3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(7) Uvjeti i način korištenja, prava i obveze korisnika sustava i druga pitanja vezana za središnji sustav interoperabilnosti detaljnije se propisuju uredbom iz članka 10. ovoga Zakona.</w:t>
      </w:r>
    </w:p>
    <w:p w14:paraId="41C4604E" w14:textId="77777777" w:rsidR="00453D55" w:rsidRPr="00453D55" w:rsidRDefault="00453D55" w:rsidP="00453D55">
      <w:pPr>
        <w:pStyle w:val="Naslov3"/>
      </w:pPr>
      <w:r w:rsidRPr="00453D55">
        <w:t>VII. REGISTRI</w:t>
      </w:r>
    </w:p>
    <w:p w14:paraId="25AF5D2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Definicija i svrha</w:t>
      </w:r>
    </w:p>
    <w:p w14:paraId="5394E8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20.</w:t>
      </w:r>
    </w:p>
    <w:p w14:paraId="12A92A3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Registar je, u smislu ovoga Zakona, informacijski sustav koji sadrži skup elektronički evidentiranih, strukturiranih i uređenih podataka o subjektu upisa iz djelokruga voditelja registra ili drugih službenih evidencija, a ustrojen je i vodi se na temelju zakona ili međunarodnog ugovora, sadrži najmanje jedan autentični podatak i služi za prikupljanje, pohranu i korištenje podataka u pravno utemeljene svrhe.</w:t>
      </w:r>
    </w:p>
    <w:p w14:paraId="7EC5F33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Svrha registara, u smislu ovoga Zakona, je putem državne informacijske infrastrukture osigurati dostupnost prikupljenih autentičnih podataka svim korisnicima koji su im potrebni za obavljanje poslova iz svoga djelokruga.</w:t>
      </w:r>
    </w:p>
    <w:p w14:paraId="0B0FB63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lastRenderedPageBreak/>
        <w:t>(3) Statistički registri regulirani prema odredbama posebnog zakona kojim se uređuje područje službene statistike ne smatraju se registrom.</w:t>
      </w:r>
    </w:p>
    <w:p w14:paraId="74CED30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Podaci i njihovo preuzimanje</w:t>
      </w:r>
    </w:p>
    <w:p w14:paraId="3D823BA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21.</w:t>
      </w:r>
    </w:p>
    <w:p w14:paraId="4836A75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Podatak je, u smislu ovoga Zakona, svaki digitalni prikaz činjenica koje određuju atribut predmeta upisa u registar.</w:t>
      </w:r>
    </w:p>
    <w:p w14:paraId="73BFA21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Autentičan podatak iz registra je, u smislu ovoga Zakona, izvoran i vjerodostojan podatak koji je kao takav određen zakonom ili proizlazi iz svrhe uspostave registra korisnika središnjeg sustava interoperabilnosti iz članka 19. stavka 5. ovoga Zakona.</w:t>
      </w:r>
    </w:p>
    <w:p w14:paraId="19BAC14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Preuzimanje podataka iz registra odnosi se na dohvaćanje podataka iz registara putem državne informacijske infrastrukture.</w:t>
      </w:r>
    </w:p>
    <w:p w14:paraId="2C96523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Voditelji registara i drugih službenih evidencija dužni su uspostaviti aplikativna sučelja za razmjenu podataka, koja su interoperabilna s državnom informacijskom infrastrukturom i omogućavaju siguran i učinkovit pristup podacima.</w:t>
      </w:r>
    </w:p>
    <w:p w14:paraId="1DDC8DA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Prethodna suglasnost na tehničku izvedbu</w:t>
      </w:r>
    </w:p>
    <w:p w14:paraId="3133F83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22.</w:t>
      </w:r>
    </w:p>
    <w:p w14:paraId="31C5618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Obveznici iz članka 7. ovoga Zakona i korisnici iz članka 8. ovoga Zakona koji ustrojavaju registre dužni su, radi osiguranja interoperabilnosti, od čelnika tijela državne uprave nadležnog za digitalnu transformaciju ishoditi prethodnu suglasnost za tehničku izvedbu registra.</w:t>
      </w:r>
    </w:p>
    <w:p w14:paraId="7C3BE0F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Obveznici iz članka 7. ovoga Zakona i korisnici iz članka 8. ovoga Zakona pri razvoju novih i nadogradnji postojećih registara i drugih službenih evidencija obvezni su koristiti nacionalni okvir interoperabilnosti i smjernice za povezivanje na Središnji sustav interoperabilnosti.</w:t>
      </w:r>
    </w:p>
    <w:p w14:paraId="203365C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Nacionalni okvir interoperabilnosti iz stavka 2. ovoga članka donosi Vlada Republike Hrvatske, a smjernice iz stavka 2. ovoga članka donosi čelnik tijela državne uprave nadležnog za digitalnu transformaciju.</w:t>
      </w:r>
    </w:p>
    <w:p w14:paraId="6ED3BC7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Korištenje podataka iz registara</w:t>
      </w:r>
    </w:p>
    <w:p w14:paraId="4BF2C84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23.</w:t>
      </w:r>
    </w:p>
    <w:p w14:paraId="3BFAF12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Obveznici iz članka 7. ovoga Zakona i korisnici iz članka 8. ovoga Zakona koji vode registre i druge službene evidencije, kao i pravne osobe koje imaju zakonsku ovlast voditi podatke i sustave bitne za Republiku Hrvatsku obvezni su, bez odgode, obavljati razmjenu podataka putem Središnjeg sustava interoperabilnosti, uz prethodnu suglasnost tijela državne uprave nadležnog za digitalnu transformaciju.</w:t>
      </w:r>
    </w:p>
    <w:p w14:paraId="2501AA4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U svrhu osnivanja novih registara obveznici iz članka 7. ovoga Zakona i korisnici iz članka 8. ovoga Zakona koji vode registre i druge službene evidencije, kao i pravne osobe koje su zakonom ovlaštene voditi podatke i sustave bitne za Republiku Hrvatsku, isključivo putem Središnjeg sustava interoperabilnosti, preuzimaju potrebne autentične podatke iz drugih registara ili drugih službenih evidencija.</w:t>
      </w:r>
    </w:p>
    <w:p w14:paraId="4BEE221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Obveznici iz članka 7. ovoga Zakona i korisnici iz članka 8. ovoga Zakona, kao i pravne osobe koje imaju zakonsku ovlast voditi podatke i sustave bitne za Republiku Hrvatsku će u obavljanju poslova iz svoga djelokruga, putem Središnjeg sustava interoperabilnosti, preuzeti podatke iz registara po službenoj dužnosti.</w:t>
      </w:r>
    </w:p>
    <w:p w14:paraId="099F6E7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Pravni učinak preuzetih podataka iz stavka 3. ovoga članka je isti kao i prilikom prikupljanja podataka izravno od fizičkih ili pravnih osoba.</w:t>
      </w:r>
    </w:p>
    <w:p w14:paraId="445E242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Podaci se neće preuzeti ako:</w:t>
      </w:r>
    </w:p>
    <w:p w14:paraId="6A9D99D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1. postoji opravdana sumnja u autentičnost podataka</w:t>
      </w:r>
    </w:p>
    <w:p w14:paraId="3B24F89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je podatak u statusu provjere</w:t>
      </w:r>
    </w:p>
    <w:p w14:paraId="1460DCD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3. postoji drugi pravni temelj koji nalaže korisnicima iz stavka 1. ovoga članka provjeru izvornosti podatka.</w:t>
      </w:r>
    </w:p>
    <w:p w14:paraId="6305223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 Pravne osobe koje nisu obveznici iz članka 7. ovoga Zakona, ni korisnici iz članka 8. ovoga Zakona, niti pravne osobe koje imaju zakonsku ovlast voditi podatke i sustave bitne za Republiku Hrvatsku, a imaju pravo prikupljanja podataka koji su u registrima određeni kao autentični sukladno posebnim propisima, preuzimaju te podatke uz suglasnost voditelja registra.</w:t>
      </w:r>
    </w:p>
    <w:p w14:paraId="56FE3FF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(7) Razmjena podataka putem Središnjeg sustava interoperabilnosti odvija se sukladno načelu razmjernosti, sukladno propisima o zaštiti osobnih podataka.</w:t>
      </w:r>
    </w:p>
    <w:p w14:paraId="72E9CCF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(8) Voditelj registra koji posumnja da se podaci iz registra ne koriste u skladu s propisima kojima je uređena zaštita osobnih podataka može zatražiti nadzor korištenja podataka, a u slučaju utvrđene zlouporabe uskratiti daljnje korištenje podataka.</w:t>
      </w:r>
    </w:p>
    <w:p w14:paraId="0E68E37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(9) Čelnik tijela državne uprave nadležnog za digitalnu transformaciju daje suglasnost iz stavka 1. ovoga članka, na osnovi provjere pravnog temelja i svrhe korištenja podataka iz zahtjeva.</w:t>
      </w:r>
    </w:p>
    <w:p w14:paraId="68EB2DDC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(10) Definicije i pravila izrade tehničkih rješenja za razmjenu podataka iz registara, sukladno članku 21. stavku 4. ovoga Zakona, pravilnikom propisuje čelnik tijela državne uprave nadležnog za digitalnu transformaciju.</w:t>
      </w:r>
    </w:p>
    <w:p w14:paraId="1BEEFBAC" w14:textId="77777777" w:rsidR="00D40F6A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53B18468" w14:textId="77777777" w:rsidR="00D40F6A" w:rsidRPr="00453D55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214B44C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lastRenderedPageBreak/>
        <w:t>Ispravnost dostavljenih podataka</w:t>
      </w:r>
    </w:p>
    <w:p w14:paraId="5F99BFA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24.</w:t>
      </w:r>
    </w:p>
    <w:p w14:paraId="28599F0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Obveznici iz članka 7. ovoga Zakona i korisnici iz članka 8. ovoga Zakona dužni su voditi računa o ažuriranju podataka unutar informacijskih sustava u kojima su ti podaci pohranjeni.</w:t>
      </w:r>
    </w:p>
    <w:p w14:paraId="11371FC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Tijela iz stavka 1. ovoga članka dužna su uskladiti svoje podatke s autentičnim podacima iz registara korištenjem Središnjeg sustava interoperabilnosti.</w:t>
      </w:r>
    </w:p>
    <w:p w14:paraId="0ACA99F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Javna dostupnost podataka</w:t>
      </w:r>
    </w:p>
    <w:p w14:paraId="1980701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25.</w:t>
      </w:r>
    </w:p>
    <w:p w14:paraId="6F581AE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Podaci prikupljeni u registrima dostupni su javnosti sukladno propisima na temelju kojih su ustrojeni i na temelju kojih se vode, propisima o zaštiti osobnih podataka te propisima o pravu na pristup informacijama, uz poštivanje obveze ograničavanja pristupa podacima propisane zakonima kojima se uređuje područje tajnosti podataka i informacijske sigurnosti.</w:t>
      </w:r>
    </w:p>
    <w:p w14:paraId="220C40B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Zabrana ustrojavanja usporednih registara</w:t>
      </w:r>
    </w:p>
    <w:p w14:paraId="4B1BACF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26.</w:t>
      </w:r>
    </w:p>
    <w:p w14:paraId="7FC806B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Nije dozvoljeno ustrojavanje usporednih registara za prikupljanje podataka koji se već prikupljaju kao autentični podaci u drugim registrima, već se u tom slučaju podaci obvezno preuzimaju putem Središnjeg sustava interoperabilnosti.</w:t>
      </w:r>
    </w:p>
    <w:p w14:paraId="37B6FCD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Pohrana registara</w:t>
      </w:r>
    </w:p>
    <w:p w14:paraId="020E93E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27.</w:t>
      </w:r>
    </w:p>
    <w:p w14:paraId="044CEFE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Registri koji sadrže osobne podatke pohranjuju se u podatkovnim centrima koji se nalaze na teritoriju Republike Hrvatske, a koji zadovoljavaju uvjete propisane uredbom iz članka 10. ovoga Zakona.</w:t>
      </w:r>
    </w:p>
    <w:p w14:paraId="169CCC8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Registri koji sadrže isključivo neosobne podatke mogu se pohranjivati u podatkovnim centrima u Republici Hrvatskoj ili državi članici Europske unije, pod uvjetom da zadovoljavaju uvjete propisane uredbom iz članka 10. ovoga Zakona.</w:t>
      </w:r>
    </w:p>
    <w:p w14:paraId="185F7D2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Iznimno od odredbe stavka 2. ovoga članka, registri koji sadrže isključivo neosobne podatke moraju se pohranjivati u podatkovnim centrima na teritoriju Republike Hrvatske ako je to u skladu s načelom proporcionalnosti, opravdano razlozima javne sigurnosti.</w:t>
      </w:r>
    </w:p>
    <w:p w14:paraId="2251002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Način procjene važnosti registra za javnu sigurnost i postupak proglašenja registra važnim za javnu sigurnost propisuje Vlada Republike Hrvatske uredbom iz članka 10. ovoga Zakona.</w:t>
      </w:r>
    </w:p>
    <w:p w14:paraId="187F6BC4" w14:textId="77777777" w:rsidR="00453D55" w:rsidRPr="00453D55" w:rsidRDefault="00453D55" w:rsidP="00006148">
      <w:pPr>
        <w:pStyle w:val="Naslov3"/>
      </w:pPr>
      <w:r w:rsidRPr="00453D55">
        <w:t>VIII. MREŽE DRŽAVNE INFORMACIJSKE INFRASTRUKTURE</w:t>
      </w:r>
    </w:p>
    <w:p w14:paraId="6B55F1A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Definicija</w:t>
      </w:r>
    </w:p>
    <w:p w14:paraId="5B2401F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28.</w:t>
      </w:r>
    </w:p>
    <w:p w14:paraId="0F6B8F9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Mreže državne informacijske infrastrukture su neklasificirane informacijsko-komunikacijske mreže koje koriste korisnici državne informacijske infrastrukture.</w:t>
      </w:r>
    </w:p>
    <w:p w14:paraId="2C702BD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Mreže državne informacijske infrastrukture koriste obveznici iz članka 7. ovoga Zakona i korisnici iz članka 8. stavaka 1. i 2. ovoga Zakona.</w:t>
      </w:r>
    </w:p>
    <w:p w14:paraId="664E690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Svrha korištenja mreža državne informacijske infrastrukture je međusobno sigurno povezivanje, pristup internetu i objava mrežnih usluga koje pružaju drugim korisnicima iz stavka 2. ovoga članka.</w:t>
      </w:r>
    </w:p>
    <w:p w14:paraId="691F81B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Mreže državne informacijske infrastrukture su:</w:t>
      </w:r>
    </w:p>
    <w:p w14:paraId="78C10DD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1. mreža HITRONet</w:t>
      </w:r>
    </w:p>
    <w:p w14:paraId="213CFDA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mreža CARNET-a</w:t>
      </w:r>
    </w:p>
    <w:p w14:paraId="3BDC800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3. mreža Srca</w:t>
      </w:r>
    </w:p>
    <w:p w14:paraId="152896D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4. mreža HealthNet</w:t>
      </w:r>
    </w:p>
    <w:p w14:paraId="51305B9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5. druge mreže koje međusobno povezuju mreže korisnika državne informacijske infrastrukture.</w:t>
      </w:r>
    </w:p>
    <w:p w14:paraId="4736E91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Iznimno od stavka 1. ovoga članka, ako mreža korisnika iz stavka 2. ovoga članka ostvaruje obilježja posebnosti koja bi bila u suprotnosti s mrežom državne informacijske infrastrukture HITRONet, navedena mreža smatra se mrežom državne informacijske infrastrukture, te upravljanje njom može preuzeti tijelo državne uprave nadležno za digitalnu transformaciju.</w:t>
      </w:r>
    </w:p>
    <w:p w14:paraId="20987EB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Mreža HITRONet</w:t>
      </w:r>
    </w:p>
    <w:p w14:paraId="1541A27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29.</w:t>
      </w:r>
    </w:p>
    <w:p w14:paraId="1201CE3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Mreža HITRONet osnovna je mreža državne informacijske infrastrukture, u vlasništvu Republike Hrvatske, koja predstavlja sigurnosnu osnovicu informacijsko-komunikacijske mreže između korisnika iz članka 28. stavka 2. ovoga Zakona te pružanje zajedničkih mrežnih i aplikativnih servisa.</w:t>
      </w:r>
    </w:p>
    <w:p w14:paraId="6A504BB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Pod mrežom HITRONet smatra se:</w:t>
      </w:r>
    </w:p>
    <w:p w14:paraId="2576DAB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lastRenderedPageBreak/>
        <w:t>1. informacijsko-komunikacijska infrastruktura u korisnicima iz članka 28. stavka 2. ovoga Zakona</w:t>
      </w:r>
    </w:p>
    <w:p w14:paraId="5BB09F40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infrastruktura potrebna za priključivanje sustava HITRONet na infrastrukturu davatelja elektroničkih komunikacijskih usluga.</w:t>
      </w:r>
    </w:p>
    <w:p w14:paraId="21DA4A1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HITRONet nije sustav za pružanje javnih elektroničkih komunikacijskih usluga.</w:t>
      </w:r>
    </w:p>
    <w:p w14:paraId="4E5A420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Sve druge mreže državne informacijske infrastrukture moraju biti mrežno povezane na mrežu HITRONet.</w:t>
      </w:r>
    </w:p>
    <w:p w14:paraId="77A309C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(5) Upravljanje HITRONet mrežom organizira se tako da Republika Hrvatska poslove uspostave, razvoja, upravljanja, nadzora i održavanja HITRONet mreže povjerava Financijskoj agenciji, a poslove izgradnje, nadzora, održavanja i upravljanja pasivnom infrastrukturom nužnom za funkcioniranje HITRONet mreže, osiguravanje dostatnih prijenosnih kapaciteta i vodova za HITRONet mrežu te fizičkog povezivanja mrežnih čvorišta i povezivanja korisnika u HITRONet mrežu povjerava trgovačkom društvu Odašiljači i veze d.o.o. Zagreb, o čemu će tijelo državne uprave nadležno za digitalnu transformaciju sklopiti ugovor s Financijskom agencijom i trgovačkim društvom Odašiljači i veze d.o.o. Zagreb.</w:t>
      </w:r>
    </w:p>
    <w:p w14:paraId="44BB53A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(6) Način upravljanja i korištenja mrežom HITRONet, kao i način financiranja spajanja i korištenja mreže za korisnike državne informacijske infrastrukture iz članka 28. stavka 2. ovoga Zakona koji se priključuju na mrežu HITRONet određuje Vlada Republike Hrvatske uredbom iz članka 10. ovoga Zakona.</w:t>
      </w:r>
    </w:p>
    <w:p w14:paraId="61856D1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Mreža CARNET-a</w:t>
      </w:r>
    </w:p>
    <w:p w14:paraId="56B7A88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30.</w:t>
      </w:r>
    </w:p>
    <w:p w14:paraId="5EC94FA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Mreža Hrvatske akademske i istraživačke mreže – CARNET (u daljnjem tekstu: CARNET) je mreža državne informacijske infrastrukture koja se uspostavlja sa svrhom povezivanja akademskih i istraživačkih ustanova iz sustava znanosti i visokog obrazovanja, kao i osnovnih i srednjih škola, učeničkih domova, ustanova ranog i predškolskog odgoja i obrazovanja te drugih institucija prema posebnim sporazumima.</w:t>
      </w:r>
    </w:p>
    <w:p w14:paraId="6C02C41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Plan upravljanja i korištenja mreže CARNET-a i spajanja ustanova donosi upravno vijeće CARNET-a uz prethodnu suglasnost čelnika tijela državne uprave nadležnog za znanost, obrazovanje i mlade te čelnika tijela državne uprave nadležnog za digitalnu transformaciju.</w:t>
      </w:r>
    </w:p>
    <w:p w14:paraId="41298630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Financiranje mreže državne informacijske infrastrukture CARNET-a osigurava se iz sredstava državnog proračuna na razdjelu CARNET-a.</w:t>
      </w:r>
    </w:p>
    <w:p w14:paraId="710DC590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Mreža Srca</w:t>
      </w:r>
    </w:p>
    <w:p w14:paraId="3861154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31.</w:t>
      </w:r>
    </w:p>
    <w:p w14:paraId="7F7946D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Mreža Sveučilišnog računskog centra – Srce (u daljnjem tekstu: Srce) je mreža državne informacijske infrastrukture koja se uspostavlja za potrebe akademske i znanstvene zajednice u Republici Hrvatskoj s ciljem izgradnje, održavanja i podrške pri uporabi moderne računalne, komunikacijske, posredničke, podatkovne i informacijske infrastrukture. Svojim djelovanjem pruža otvorenost te osigurava kompatibilnost i povezanost postojeće e-infrastrukture s europskim i globalnim infrastrukturama.</w:t>
      </w:r>
    </w:p>
    <w:p w14:paraId="6A9F72FB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Način upravljanja i korištenje mreže Srca, vrste usluga, podrška korisnicima, kao i sva ostala prava i obveze vezane za djelatnost, upravljanje, operativni rad i održavanje mreže Srca uređuju se Statutom Srca.</w:t>
      </w:r>
    </w:p>
    <w:p w14:paraId="020AEF1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Financiranje mreže državne informacijske infrastrukture te sredstva za redovitu djelatnost Srca osiguravaju se prije svega iz državnog proračuna Republike Hrvatske, neposredno kroz stavke proračuna namijenjene Srcu.</w:t>
      </w:r>
    </w:p>
    <w:p w14:paraId="7883DC89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Mreža HealthNet</w:t>
      </w:r>
    </w:p>
    <w:p w14:paraId="75B06C0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32.</w:t>
      </w:r>
    </w:p>
    <w:p w14:paraId="0C2D4DD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Mreža HealthNet je mreža državne informacijske infrastrukture koja se uspostavlja s ciljem efikasnijeg i kvalitetnijeg pružanja usluga informacijsko-komunikacijskih tehnologija građanima i povezuje sve zdravstvene ustanove, neovisno o osnivaču zdravstvene ustanove.</w:t>
      </w:r>
    </w:p>
    <w:p w14:paraId="4110105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Način upravljanja i korištenja mrežom HealthNet, način spajanja ustanova i sva ostala prava i obveze vezane za operativni rad i održavanje mreže HealthNet utvrdit će se sporazumom između Hrvatske akademske i istraživačke mreže – CARNET i tijela državne uprave nadležnog za zdravstvo.</w:t>
      </w:r>
    </w:p>
    <w:p w14:paraId="204FAE47" w14:textId="77777777" w:rsid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Financiranje mreže državne informacijske infrastrukture HealthNet osigurava se iz državnog proračuna Republike Hrvatske, neposredno kroz stavke proračuna namijenjene HealthNet-u.</w:t>
      </w:r>
    </w:p>
    <w:p w14:paraId="6FBEA5CD" w14:textId="77777777" w:rsidR="00D40F6A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0A303931" w14:textId="77777777" w:rsidR="00D40F6A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0F3A8FB4" w14:textId="77777777" w:rsidR="00D40F6A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4144AFF0" w14:textId="77777777" w:rsidR="00D40F6A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3DB70BD2" w14:textId="77777777" w:rsidR="00D40F6A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5CA9B697" w14:textId="77777777" w:rsidR="00D40F6A" w:rsidRPr="00453D55" w:rsidRDefault="00D40F6A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</w:p>
    <w:p w14:paraId="2BDD9703" w14:textId="77777777" w:rsidR="00453D55" w:rsidRPr="00453D55" w:rsidRDefault="00453D55" w:rsidP="00006148">
      <w:pPr>
        <w:pStyle w:val="Naslov3"/>
      </w:pPr>
      <w:r w:rsidRPr="00453D55">
        <w:lastRenderedPageBreak/>
        <w:t>IX. PREKRŠAJNE ODREDBE</w:t>
      </w:r>
    </w:p>
    <w:p w14:paraId="6EF710E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Lakši prekršaji</w:t>
      </w:r>
    </w:p>
    <w:p w14:paraId="17512ED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33.</w:t>
      </w:r>
    </w:p>
    <w:p w14:paraId="207EA06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Novčanom kaznom u iznosu od 500,00 do 3000,00 eura kaznit će se za prekršaj odgovorna osoba obveznika iz članka 7. ovoga Zakona i odgovorna osoba korisnika iz članka 8. stavaka 1. i 2. ovoga Zakona koji:</w:t>
      </w:r>
    </w:p>
    <w:p w14:paraId="34DBA4DF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1. u ProDII ne unesu sve postojeće i nove projekte državne informacijske infrastrukture, sukladno odredbama članka 12. stavaka 5. i 6. ovoga Zakona</w:t>
      </w:r>
    </w:p>
    <w:p w14:paraId="6950CD9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ne ishode prethodnu suglasnost na tehničku provedivost i ispravnost, sukladno članku 22. stavku 1. ovoga Zakona.</w:t>
      </w:r>
    </w:p>
    <w:p w14:paraId="5BECC84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Novčanom kaznom u iznosu od 500,00 do 3000,00 eura kaznit će se odgovorna osoba obveznika iz članka 7. ovoga Zakona i odgovorna osoba korisnika iz članka 8. ovoga Zakona koji:</w:t>
      </w:r>
    </w:p>
    <w:p w14:paraId="25CBB67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1. suprotno članku 23. stavku 3. ovoga Zakona, traže dostavu podataka od fizičkih ili pravnih osoba</w:t>
      </w:r>
    </w:p>
    <w:p w14:paraId="1322C97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ne učine podatke dostupne javnosti, sukladno članku 25. ovoga Zakona</w:t>
      </w:r>
    </w:p>
    <w:p w14:paraId="3896DD5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3. ustroje usporedne registre suprotno članku 26. ovoga Zakona.</w:t>
      </w:r>
    </w:p>
    <w:p w14:paraId="0EB59AD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Teži prekršaji</w:t>
      </w:r>
    </w:p>
    <w:p w14:paraId="6802BE5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34.</w:t>
      </w:r>
    </w:p>
    <w:p w14:paraId="4C4DEAD3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Novčanom kaznom u iznosu od 3000,00 do 6630,00 eura kaznit će se za prekršaj odgovorna osoba obveznika iz članka 7. stavka 1. ovoga Zakona i odgovorna osoba korisnika iz članka 8. stavaka 1. i 2. ovoga Zakona koji:</w:t>
      </w:r>
    </w:p>
    <w:p w14:paraId="64366FDA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1. ne koriste državnu informacijsku infrastrukturu pri razvoju novih i nadogradnjama postojećih e-usluga, sukladno članku 14. stavku 1. ovoga Zakona</w:t>
      </w:r>
    </w:p>
    <w:p w14:paraId="176DD7D0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ne koriste sustav e-Građani za pružanje e-usluga te objavu pravodobnih i točnih informacija o poslovima koje obavljaju i uslugama koje pružaju, sukladno članku 15. stavku 2. ovoga Zakona</w:t>
      </w:r>
    </w:p>
    <w:p w14:paraId="6BFD035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3. ne dostavljaju akte, sukladno članku 15. stavcima 3. i 4. ovoga Zakona</w:t>
      </w:r>
    </w:p>
    <w:p w14:paraId="6475934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4. ne koriste usluge pouzdanog smještaja državne informacijske infrastrukture, sukladno članku 17. stavku 1. ovoga Zakona.</w:t>
      </w:r>
    </w:p>
    <w:p w14:paraId="0D9F8B52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Novčanom kaznom u iznosu od 3000,00 do 6630,00 eura kaznit će se za prekršaj odgovorna osoba obveznika iz članka 7. stavka 1. ovoga Zakona i odgovorna osoba korisnika iz članka 8. ovoga Zakona koji:</w:t>
      </w:r>
    </w:p>
    <w:p w14:paraId="3CB086AE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1. ne koriste središnji sustav interoperabilnosti, sukladno članku 19. stavku 5. ovoga Zakona</w:t>
      </w:r>
    </w:p>
    <w:p w14:paraId="5B2B9C6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2. ne obavljaju razmjenu podataka koristeći Središnji sustav interoperabilnosti, sukladno članku 23. stavku 1. ovoga Zakona.</w:t>
      </w:r>
    </w:p>
    <w:p w14:paraId="331BD111" w14:textId="77777777" w:rsidR="00453D55" w:rsidRPr="00453D55" w:rsidRDefault="00453D55" w:rsidP="00D40F6A">
      <w:pPr>
        <w:pStyle w:val="Naslov3"/>
      </w:pPr>
      <w:r w:rsidRPr="00453D55">
        <w:t>X. PRIJELAZNE I ZAVRŠNE ODREDBE</w:t>
      </w:r>
    </w:p>
    <w:p w14:paraId="4D30551D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35.</w:t>
      </w:r>
    </w:p>
    <w:p w14:paraId="523E0E81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(1) Vlada Republike Hrvatske će u roku od šest mjeseci od dana stupanja na snagu ovoga Zakona donijeti uredbu iz članka 10. ovoga Zakona.</w:t>
      </w:r>
    </w:p>
    <w:p w14:paraId="31BF43F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(2) Čelnik tijela državne uprave nadležnog za digitalnu transformaciju će u roku od šest mjeseci od dana stupanja na snagu ovoga Zakona donijeti pravilnike iz članka 11. stavka 2. i članka 23. stavka 10. ovoga Zakona.</w:t>
      </w:r>
    </w:p>
    <w:p w14:paraId="119EC05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(3) Korisnici državne informacijske infrastrukture iz članka 12. stavka 5. ovoga Zakona će u roku od šest mjeseci od dana stupanja na snagu uredbe iz članka 10. ovoga Zakona unijeti projekte državne informacijske infrastrukture u ProDII.</w:t>
      </w:r>
    </w:p>
    <w:p w14:paraId="12463F4C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(4) Voditelji registara i drugih službenih evidencija će u roku od 12 mjeseci od dana stupanja na snagu uredbe iz članka 10. ovoga Zakona uspostaviti aplikativna sučelja za razmjenu podataka iz članka 21. stavka 4. ovoga Zakona.</w:t>
      </w:r>
    </w:p>
    <w:p w14:paraId="2BF71117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36.</w:t>
      </w:r>
    </w:p>
    <w:p w14:paraId="405767F6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Do dana stupanja na snagu uredbe iz članka 10. ovoga Zakona ostaju na snazi Uredba o uspostavljanju javnog Registra za koordinaciju projekata izgradnje državne informacijske infrastrukture (»Narodne novine« br. 134/14. i 40/16.) i Uredba o organizacijskim i tehničkim standardima za povezivanje na državnu informacijsku infrastrukturu (»Narodne novine« br. 60/17.).</w:t>
      </w:r>
    </w:p>
    <w:p w14:paraId="743C229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37.</w:t>
      </w:r>
    </w:p>
    <w:p w14:paraId="42077C48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Danom stupanja na snagu ovoga Zakona prestaje važiti Zakon o državnoj informacijskoj infrastrukturi (»Narodne novine« br. 92/14.) i Odluka o određivanju temeljnih registara (»Narodne novine« br. 21/24.).</w:t>
      </w:r>
    </w:p>
    <w:p w14:paraId="34379B04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jc w:val="center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Članak 38.</w:t>
      </w:r>
    </w:p>
    <w:p w14:paraId="5442BF85" w14:textId="77777777" w:rsidR="00453D55" w:rsidRPr="00453D55" w:rsidRDefault="00453D55" w:rsidP="00453D55">
      <w:pPr>
        <w:pStyle w:val="box479916"/>
        <w:shd w:val="clear" w:color="auto" w:fill="FFFFFF"/>
        <w:spacing w:before="30" w:beforeAutospacing="0" w:after="30" w:afterAutospacing="0"/>
        <w:textAlignment w:val="baseline"/>
        <w:rPr>
          <w:color w:val="231F20"/>
          <w:sz w:val="20"/>
          <w:szCs w:val="20"/>
        </w:rPr>
      </w:pPr>
      <w:r w:rsidRPr="00453D55">
        <w:rPr>
          <w:color w:val="231F20"/>
          <w:sz w:val="20"/>
          <w:szCs w:val="20"/>
        </w:rPr>
        <w:t>Ovaj Zakon stupa na snagu osmoga dana od dana objave u »Narodnim novinama«, osim članaka 33. i 34. ovoga Zakona koji stupaju na snagu 1. siječnja 2027.</w:t>
      </w:r>
    </w:p>
    <w:p w14:paraId="5DB56F01" w14:textId="77777777" w:rsidR="00453D55" w:rsidRPr="00453D55" w:rsidRDefault="00453D55" w:rsidP="00453D55">
      <w:pPr>
        <w:spacing w:beforeLines="30" w:before="72" w:afterLines="30" w:after="72"/>
        <w:rPr>
          <w:rFonts w:ascii="Times New Roman" w:hAnsi="Times New Roman"/>
          <w:sz w:val="20"/>
          <w:szCs w:val="20"/>
        </w:rPr>
      </w:pPr>
    </w:p>
    <w:sectPr w:rsidR="00453D55" w:rsidRPr="00453D55" w:rsidSect="004205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1134" w:left="1134" w:header="567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00C96" w14:textId="77777777" w:rsidR="000C50B8" w:rsidRDefault="000C50B8" w:rsidP="002157BC">
      <w:r>
        <w:separator/>
      </w:r>
    </w:p>
  </w:endnote>
  <w:endnote w:type="continuationSeparator" w:id="0">
    <w:p w14:paraId="6CDED17D" w14:textId="77777777" w:rsidR="000C50B8" w:rsidRDefault="000C50B8" w:rsidP="0021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79474" w14:textId="77777777" w:rsidR="00632B3E" w:rsidRDefault="00632B3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7A97F" w14:textId="77777777" w:rsidR="002157BC" w:rsidRPr="00DF7FC2" w:rsidRDefault="002157BC" w:rsidP="002157BC">
    <w:pPr>
      <w:pStyle w:val="Podnoje"/>
      <w:pBdr>
        <w:top w:val="single" w:sz="4" w:space="1" w:color="auto"/>
      </w:pBdr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PAGE 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770E47">
      <w:rPr>
        <w:rFonts w:ascii="Times New Roman" w:hAnsi="Times New Roman"/>
        <w:noProof/>
        <w:sz w:val="18"/>
        <w:szCs w:val="18"/>
      </w:rPr>
      <w:t>1</w:t>
    </w:r>
    <w:r w:rsidRPr="00DF7FC2">
      <w:rPr>
        <w:rFonts w:ascii="Times New Roman" w:hAnsi="Times New Roman"/>
        <w:sz w:val="18"/>
        <w:szCs w:val="18"/>
      </w:rPr>
      <w:fldChar w:fldCharType="end"/>
    </w:r>
  </w:p>
  <w:p w14:paraId="38C31529" w14:textId="09E2DD3E" w:rsidR="00355905" w:rsidRDefault="006E62DA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6E62DA">
      <w:rPr>
        <w:rFonts w:ascii="Times New Roman" w:hAnsi="Times New Roman"/>
        <w:sz w:val="18"/>
        <w:szCs w:val="18"/>
      </w:rPr>
      <w:t xml:space="preserve">Zakon o </w:t>
    </w:r>
    <w:r w:rsidR="00006148" w:rsidRPr="00006148">
      <w:rPr>
        <w:rFonts w:ascii="Times New Roman" w:hAnsi="Times New Roman"/>
        <w:sz w:val="18"/>
        <w:szCs w:val="18"/>
      </w:rPr>
      <w:t>državnoj informacijskoj infrastrukturi</w:t>
    </w:r>
  </w:p>
  <w:p w14:paraId="705BB24B" w14:textId="4C9EF239" w:rsidR="002157BC" w:rsidRPr="00DF7FC2" w:rsidRDefault="002157BC" w:rsidP="002157BC">
    <w:pPr>
      <w:pStyle w:val="Podnoje"/>
      <w:jc w:val="center"/>
      <w:rPr>
        <w:rFonts w:ascii="Times New Roman" w:hAnsi="Times New Roman"/>
        <w:sz w:val="18"/>
        <w:szCs w:val="18"/>
      </w:rPr>
    </w:pPr>
    <w:r w:rsidRPr="00DF7FC2">
      <w:rPr>
        <w:rFonts w:ascii="Times New Roman" w:hAnsi="Times New Roman"/>
        <w:sz w:val="18"/>
        <w:szCs w:val="18"/>
      </w:rPr>
      <w:t>NN</w:t>
    </w:r>
    <w:r w:rsidR="00A71198">
      <w:rPr>
        <w:rFonts w:ascii="Times New Roman" w:hAnsi="Times New Roman"/>
        <w:sz w:val="18"/>
        <w:szCs w:val="18"/>
      </w:rPr>
      <w:t xml:space="preserve"> </w:t>
    </w:r>
    <w:r w:rsidR="00632B3E">
      <w:rPr>
        <w:rFonts w:ascii="Times New Roman" w:hAnsi="Times New Roman"/>
        <w:sz w:val="18"/>
        <w:szCs w:val="18"/>
      </w:rPr>
      <w:t>72</w:t>
    </w:r>
    <w:r w:rsidR="006E62DA">
      <w:rPr>
        <w:rFonts w:ascii="Times New Roman" w:hAnsi="Times New Roman"/>
        <w:sz w:val="18"/>
        <w:szCs w:val="18"/>
      </w:rPr>
      <w:t>/25</w:t>
    </w:r>
    <w:r w:rsidR="001E5366">
      <w:rPr>
        <w:rFonts w:ascii="Times New Roman" w:hAnsi="Times New Roman"/>
        <w:sz w:val="18"/>
        <w:szCs w:val="18"/>
      </w:rPr>
      <w:t xml:space="preserve"> - </w:t>
    </w:r>
    <w:r w:rsidR="006E62DA">
      <w:rPr>
        <w:rFonts w:ascii="Times New Roman" w:hAnsi="Times New Roman"/>
        <w:sz w:val="18"/>
        <w:szCs w:val="18"/>
      </w:rPr>
      <w:t>na snazi od</w:t>
    </w:r>
    <w:r w:rsidR="00006148">
      <w:rPr>
        <w:rFonts w:ascii="Times New Roman" w:hAnsi="Times New Roman"/>
        <w:sz w:val="18"/>
        <w:szCs w:val="18"/>
      </w:rPr>
      <w:t xml:space="preserve"> 01.05.2025.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EC0C9" w14:textId="77777777" w:rsidR="00632B3E" w:rsidRDefault="00632B3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E05CD" w14:textId="77777777" w:rsidR="000C50B8" w:rsidRDefault="000C50B8" w:rsidP="002157BC">
      <w:r>
        <w:separator/>
      </w:r>
    </w:p>
  </w:footnote>
  <w:footnote w:type="continuationSeparator" w:id="0">
    <w:p w14:paraId="4CC49B42" w14:textId="77777777" w:rsidR="000C50B8" w:rsidRDefault="000C50B8" w:rsidP="0021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7BED4" w14:textId="77777777" w:rsidR="00632B3E" w:rsidRDefault="00632B3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3BB49" w14:textId="44FB89BA" w:rsidR="002157BC" w:rsidRDefault="002157BC" w:rsidP="002157BC">
    <w:pPr>
      <w:pStyle w:val="Zaglavlje"/>
      <w:pBdr>
        <w:bottom w:val="single" w:sz="4" w:space="1" w:color="auto"/>
      </w:pBdr>
      <w:tabs>
        <w:tab w:val="clear" w:pos="9072"/>
        <w:tab w:val="right" w:pos="10206"/>
      </w:tabs>
    </w:pPr>
    <w:r>
      <w:tab/>
      <w:t xml:space="preserve">           </w:t>
    </w:r>
    <w:r w:rsidR="001F527E" w:rsidRPr="00AE2BB9">
      <w:rPr>
        <w:noProof/>
        <w:lang w:eastAsia="hr-HR"/>
      </w:rPr>
      <w:drawing>
        <wp:inline distT="0" distB="0" distL="0" distR="0" wp14:anchorId="5499DEEE" wp14:editId="1434B474">
          <wp:extent cx="1799590" cy="767715"/>
          <wp:effectExtent l="0" t="0" r="0" b="0"/>
          <wp:docPr id="1" name="Picture 1" descr="logoTemp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emp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tab/>
    </w:r>
    <w:r w:rsidRPr="00DF7FC2">
      <w:rPr>
        <w:rFonts w:ascii="Times New Roman" w:hAnsi="Times New Roman"/>
      </w:rPr>
      <w:t xml:space="preserve">          </w:t>
    </w:r>
    <w:r w:rsidRPr="00DF7FC2">
      <w:rPr>
        <w:rFonts w:ascii="Times New Roman" w:hAnsi="Times New Roman"/>
        <w:sz w:val="18"/>
        <w:szCs w:val="18"/>
      </w:rPr>
      <w:t>Ispisano:</w:t>
    </w:r>
    <w:r w:rsidRPr="00DF7FC2">
      <w:rPr>
        <w:rFonts w:ascii="Times New Roman" w:hAnsi="Times New Roman"/>
      </w:rPr>
      <w:t xml:space="preserve"> </w:t>
    </w:r>
    <w:r w:rsidRPr="00DF7FC2">
      <w:rPr>
        <w:rFonts w:ascii="Times New Roman" w:hAnsi="Times New Roman"/>
        <w:sz w:val="18"/>
        <w:szCs w:val="18"/>
      </w:rPr>
      <w:fldChar w:fldCharType="begin"/>
    </w:r>
    <w:r w:rsidRPr="00DF7FC2">
      <w:rPr>
        <w:rFonts w:ascii="Times New Roman" w:hAnsi="Times New Roman"/>
        <w:sz w:val="18"/>
        <w:szCs w:val="18"/>
      </w:rPr>
      <w:instrText xml:space="preserve"> PRINTDATE  \@ "d. MMMM yyyy."  \* MERGEFORMAT </w:instrText>
    </w:r>
    <w:r w:rsidRPr="00DF7FC2">
      <w:rPr>
        <w:rFonts w:ascii="Times New Roman" w:hAnsi="Times New Roman"/>
        <w:sz w:val="18"/>
        <w:szCs w:val="18"/>
      </w:rPr>
      <w:fldChar w:fldCharType="separate"/>
    </w:r>
    <w:r w:rsidR="001F527E">
      <w:rPr>
        <w:rFonts w:ascii="Times New Roman" w:hAnsi="Times New Roman"/>
        <w:noProof/>
        <w:sz w:val="18"/>
        <w:szCs w:val="18"/>
      </w:rPr>
      <w:t>0. XXX 0000.</w:t>
    </w:r>
    <w:r w:rsidRPr="00DF7FC2">
      <w:rPr>
        <w:rFonts w:ascii="Times New Roman" w:hAnsi="Times New Roman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DBE20" w14:textId="77777777" w:rsidR="00632B3E" w:rsidRDefault="00632B3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B58"/>
    <w:multiLevelType w:val="multilevel"/>
    <w:tmpl w:val="534C0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F7178"/>
    <w:multiLevelType w:val="hybridMultilevel"/>
    <w:tmpl w:val="8416E070"/>
    <w:lvl w:ilvl="0" w:tplc="BAA009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8604DC"/>
    <w:multiLevelType w:val="hybridMultilevel"/>
    <w:tmpl w:val="9E8026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7837DE"/>
    <w:multiLevelType w:val="hybridMultilevel"/>
    <w:tmpl w:val="5C209B5E"/>
    <w:lvl w:ilvl="0" w:tplc="E53CF18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942FC"/>
    <w:multiLevelType w:val="multilevel"/>
    <w:tmpl w:val="DEC0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A7877"/>
    <w:multiLevelType w:val="hybridMultilevel"/>
    <w:tmpl w:val="D3EA610C"/>
    <w:lvl w:ilvl="0" w:tplc="D7BCC7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3440150">
    <w:abstractNumId w:val="5"/>
  </w:num>
  <w:num w:numId="2" w16cid:durableId="197745270">
    <w:abstractNumId w:val="2"/>
  </w:num>
  <w:num w:numId="3" w16cid:durableId="716272677">
    <w:abstractNumId w:val="3"/>
  </w:num>
  <w:num w:numId="4" w16cid:durableId="532839710">
    <w:abstractNumId w:val="1"/>
  </w:num>
  <w:num w:numId="5" w16cid:durableId="163857846">
    <w:abstractNumId w:val="0"/>
  </w:num>
  <w:num w:numId="6" w16cid:durableId="1928228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7E"/>
    <w:rsid w:val="00006148"/>
    <w:rsid w:val="00011EB6"/>
    <w:rsid w:val="00013ED4"/>
    <w:rsid w:val="00024D54"/>
    <w:rsid w:val="00041745"/>
    <w:rsid w:val="000704F3"/>
    <w:rsid w:val="00074E29"/>
    <w:rsid w:val="000960B5"/>
    <w:rsid w:val="000B3BB4"/>
    <w:rsid w:val="000B682E"/>
    <w:rsid w:val="000C2BBA"/>
    <w:rsid w:val="000C50B8"/>
    <w:rsid w:val="000E093E"/>
    <w:rsid w:val="000E1C61"/>
    <w:rsid w:val="000F410D"/>
    <w:rsid w:val="000F6150"/>
    <w:rsid w:val="00115CA5"/>
    <w:rsid w:val="001250E2"/>
    <w:rsid w:val="00144727"/>
    <w:rsid w:val="0015417A"/>
    <w:rsid w:val="00156239"/>
    <w:rsid w:val="00170731"/>
    <w:rsid w:val="0018322D"/>
    <w:rsid w:val="001A3FDB"/>
    <w:rsid w:val="001B05A0"/>
    <w:rsid w:val="001D3D84"/>
    <w:rsid w:val="001D67F6"/>
    <w:rsid w:val="001E5366"/>
    <w:rsid w:val="001E6C7A"/>
    <w:rsid w:val="001F0A98"/>
    <w:rsid w:val="001F0E80"/>
    <w:rsid w:val="001F527E"/>
    <w:rsid w:val="00201616"/>
    <w:rsid w:val="0021437A"/>
    <w:rsid w:val="002157BC"/>
    <w:rsid w:val="00221226"/>
    <w:rsid w:val="0022238E"/>
    <w:rsid w:val="0024008E"/>
    <w:rsid w:val="00252960"/>
    <w:rsid w:val="00252B0B"/>
    <w:rsid w:val="00252ECB"/>
    <w:rsid w:val="00277373"/>
    <w:rsid w:val="00282C62"/>
    <w:rsid w:val="002A0912"/>
    <w:rsid w:val="002B4D39"/>
    <w:rsid w:val="002C487C"/>
    <w:rsid w:val="002D20A6"/>
    <w:rsid w:val="002F208E"/>
    <w:rsid w:val="00350008"/>
    <w:rsid w:val="00355905"/>
    <w:rsid w:val="003739A3"/>
    <w:rsid w:val="00373E3A"/>
    <w:rsid w:val="00374B2E"/>
    <w:rsid w:val="003956BD"/>
    <w:rsid w:val="003A5C68"/>
    <w:rsid w:val="003B05CD"/>
    <w:rsid w:val="003C6FB3"/>
    <w:rsid w:val="003D7EE4"/>
    <w:rsid w:val="004022A6"/>
    <w:rsid w:val="00415405"/>
    <w:rsid w:val="00415B54"/>
    <w:rsid w:val="00416076"/>
    <w:rsid w:val="004205B2"/>
    <w:rsid w:val="00425E03"/>
    <w:rsid w:val="004465A0"/>
    <w:rsid w:val="00453D55"/>
    <w:rsid w:val="004D1586"/>
    <w:rsid w:val="004E14F6"/>
    <w:rsid w:val="00501A59"/>
    <w:rsid w:val="00506739"/>
    <w:rsid w:val="00512203"/>
    <w:rsid w:val="00540A90"/>
    <w:rsid w:val="00554F88"/>
    <w:rsid w:val="00566896"/>
    <w:rsid w:val="00573CA8"/>
    <w:rsid w:val="00573E4C"/>
    <w:rsid w:val="005925E8"/>
    <w:rsid w:val="005A0770"/>
    <w:rsid w:val="005B1DDF"/>
    <w:rsid w:val="005B2E7C"/>
    <w:rsid w:val="005E3069"/>
    <w:rsid w:val="0060418C"/>
    <w:rsid w:val="00604330"/>
    <w:rsid w:val="00605BFF"/>
    <w:rsid w:val="00610120"/>
    <w:rsid w:val="00611B6D"/>
    <w:rsid w:val="00632B3E"/>
    <w:rsid w:val="006408E3"/>
    <w:rsid w:val="00641104"/>
    <w:rsid w:val="00651A67"/>
    <w:rsid w:val="00657D04"/>
    <w:rsid w:val="00664744"/>
    <w:rsid w:val="00665AC8"/>
    <w:rsid w:val="00667154"/>
    <w:rsid w:val="006672BA"/>
    <w:rsid w:val="006D4B7B"/>
    <w:rsid w:val="006E22BA"/>
    <w:rsid w:val="006E62DA"/>
    <w:rsid w:val="006F7368"/>
    <w:rsid w:val="006F7C9F"/>
    <w:rsid w:val="00725EC4"/>
    <w:rsid w:val="00726EBB"/>
    <w:rsid w:val="00740174"/>
    <w:rsid w:val="007427B4"/>
    <w:rsid w:val="007429F2"/>
    <w:rsid w:val="00744D84"/>
    <w:rsid w:val="00766E86"/>
    <w:rsid w:val="00770E47"/>
    <w:rsid w:val="0077279B"/>
    <w:rsid w:val="007749B9"/>
    <w:rsid w:val="0078108A"/>
    <w:rsid w:val="007B3F62"/>
    <w:rsid w:val="007D45AF"/>
    <w:rsid w:val="007D6D8F"/>
    <w:rsid w:val="007E7274"/>
    <w:rsid w:val="00800679"/>
    <w:rsid w:val="00806163"/>
    <w:rsid w:val="00820A1B"/>
    <w:rsid w:val="008315E1"/>
    <w:rsid w:val="00834B2D"/>
    <w:rsid w:val="00843DA4"/>
    <w:rsid w:val="00847ED0"/>
    <w:rsid w:val="00851083"/>
    <w:rsid w:val="0087297C"/>
    <w:rsid w:val="00874D50"/>
    <w:rsid w:val="00893E9C"/>
    <w:rsid w:val="008A619F"/>
    <w:rsid w:val="008A68A9"/>
    <w:rsid w:val="008C3AEE"/>
    <w:rsid w:val="008E09BA"/>
    <w:rsid w:val="008F2E00"/>
    <w:rsid w:val="00902379"/>
    <w:rsid w:val="00910BCE"/>
    <w:rsid w:val="00913261"/>
    <w:rsid w:val="00916FC7"/>
    <w:rsid w:val="009300F8"/>
    <w:rsid w:val="0095522C"/>
    <w:rsid w:val="009567F9"/>
    <w:rsid w:val="00972841"/>
    <w:rsid w:val="009F6C50"/>
    <w:rsid w:val="00A0018D"/>
    <w:rsid w:val="00A01201"/>
    <w:rsid w:val="00A01A53"/>
    <w:rsid w:val="00A05ACC"/>
    <w:rsid w:val="00A1704F"/>
    <w:rsid w:val="00A2265B"/>
    <w:rsid w:val="00A35430"/>
    <w:rsid w:val="00A55D6A"/>
    <w:rsid w:val="00A71198"/>
    <w:rsid w:val="00A7654F"/>
    <w:rsid w:val="00A7693A"/>
    <w:rsid w:val="00A76D2E"/>
    <w:rsid w:val="00A8647B"/>
    <w:rsid w:val="00A9137E"/>
    <w:rsid w:val="00AA2600"/>
    <w:rsid w:val="00AB0923"/>
    <w:rsid w:val="00AE7E8E"/>
    <w:rsid w:val="00AF1012"/>
    <w:rsid w:val="00B169D8"/>
    <w:rsid w:val="00B1731E"/>
    <w:rsid w:val="00B21895"/>
    <w:rsid w:val="00B2246E"/>
    <w:rsid w:val="00B31E42"/>
    <w:rsid w:val="00B5085C"/>
    <w:rsid w:val="00B668AA"/>
    <w:rsid w:val="00B72055"/>
    <w:rsid w:val="00B7444F"/>
    <w:rsid w:val="00BA7AA6"/>
    <w:rsid w:val="00BB24FD"/>
    <w:rsid w:val="00BB2F95"/>
    <w:rsid w:val="00BF141E"/>
    <w:rsid w:val="00BF1986"/>
    <w:rsid w:val="00BF547D"/>
    <w:rsid w:val="00C26C33"/>
    <w:rsid w:val="00C307C8"/>
    <w:rsid w:val="00C37443"/>
    <w:rsid w:val="00C53A95"/>
    <w:rsid w:val="00C9558F"/>
    <w:rsid w:val="00CA2BEC"/>
    <w:rsid w:val="00CB0355"/>
    <w:rsid w:val="00CC03E0"/>
    <w:rsid w:val="00CE546A"/>
    <w:rsid w:val="00CF10D1"/>
    <w:rsid w:val="00CF57AB"/>
    <w:rsid w:val="00D377F8"/>
    <w:rsid w:val="00D40F6A"/>
    <w:rsid w:val="00D41646"/>
    <w:rsid w:val="00D42D8F"/>
    <w:rsid w:val="00D63D0B"/>
    <w:rsid w:val="00D75FB3"/>
    <w:rsid w:val="00DA2557"/>
    <w:rsid w:val="00DF70F5"/>
    <w:rsid w:val="00DF7FC2"/>
    <w:rsid w:val="00E2030C"/>
    <w:rsid w:val="00E3777C"/>
    <w:rsid w:val="00E44099"/>
    <w:rsid w:val="00E56EB2"/>
    <w:rsid w:val="00E76036"/>
    <w:rsid w:val="00EC4BAB"/>
    <w:rsid w:val="00EE7918"/>
    <w:rsid w:val="00EE7CE8"/>
    <w:rsid w:val="00F10CED"/>
    <w:rsid w:val="00F13030"/>
    <w:rsid w:val="00F22552"/>
    <w:rsid w:val="00F2381E"/>
    <w:rsid w:val="00F3212D"/>
    <w:rsid w:val="00F3381C"/>
    <w:rsid w:val="00F52B1D"/>
    <w:rsid w:val="00F57821"/>
    <w:rsid w:val="00F66712"/>
    <w:rsid w:val="00F70618"/>
    <w:rsid w:val="00F90FC1"/>
    <w:rsid w:val="00FB7698"/>
    <w:rsid w:val="00FE1A1C"/>
    <w:rsid w:val="00FE25F0"/>
    <w:rsid w:val="00FE4781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D4EE6"/>
  <w15:chartTrackingRefBased/>
  <w15:docId w15:val="{B35B6F7E-C77D-484C-B92B-66B24EFA9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EBB"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726EB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Naslov2">
    <w:name w:val="heading 2"/>
    <w:basedOn w:val="Normal"/>
    <w:next w:val="Normal"/>
    <w:link w:val="Naslov2Char"/>
    <w:unhideWhenUsed/>
    <w:qFormat/>
    <w:rsid w:val="001A3FD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1A3FDB"/>
    <w:pPr>
      <w:keepNext/>
      <w:spacing w:before="240" w:after="60" w:line="360" w:lineRule="auto"/>
      <w:jc w:val="center"/>
      <w:outlineLvl w:val="2"/>
    </w:pPr>
    <w:rPr>
      <w:rFonts w:ascii="Times New Roman" w:eastAsia="Times New Roman" w:hAnsi="Times New Roman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1A3FDB"/>
    <w:pPr>
      <w:keepNext/>
      <w:spacing w:before="240" w:after="60" w:line="360" w:lineRule="auto"/>
      <w:jc w:val="center"/>
      <w:outlineLvl w:val="3"/>
    </w:pPr>
    <w:rPr>
      <w:rFonts w:ascii="Times New Roman" w:eastAsia="Times New Roman" w:hAnsi="Times New Roman"/>
      <w:b/>
      <w:bCs/>
      <w:sz w:val="24"/>
      <w:szCs w:val="28"/>
    </w:rPr>
  </w:style>
  <w:style w:type="paragraph" w:styleId="Naslov5">
    <w:name w:val="heading 5"/>
    <w:basedOn w:val="1"/>
    <w:next w:val="Normal"/>
    <w:link w:val="Naslov5Char"/>
    <w:uiPriority w:val="9"/>
    <w:unhideWhenUsed/>
    <w:qFormat/>
    <w:rsid w:val="00425E03"/>
    <w:pPr>
      <w:spacing w:before="240" w:after="60" w:line="360" w:lineRule="auto"/>
      <w:outlineLvl w:val="4"/>
    </w:pPr>
    <w:rPr>
      <w:rFonts w:ascii="Times New Roman" w:hAnsi="Times New Roman"/>
      <w:bCs/>
      <w:iCs/>
      <w:szCs w:val="26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C53A95"/>
    <w:pPr>
      <w:spacing w:before="240" w:after="60"/>
      <w:jc w:val="center"/>
      <w:outlineLvl w:val="5"/>
    </w:pPr>
    <w:rPr>
      <w:rFonts w:eastAsia="Times New Roman"/>
      <w:b/>
      <w:bCs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C53A95"/>
    <w:pPr>
      <w:spacing w:before="240" w:after="60"/>
      <w:jc w:val="center"/>
      <w:outlineLvl w:val="6"/>
    </w:pPr>
    <w:rPr>
      <w:rFonts w:eastAsia="Times New Roman"/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157BC"/>
  </w:style>
  <w:style w:type="paragraph" w:styleId="Podnoje">
    <w:name w:val="footer"/>
    <w:basedOn w:val="Normal"/>
    <w:link w:val="PodnojeChar"/>
    <w:unhideWhenUsed/>
    <w:rsid w:val="0021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57BC"/>
  </w:style>
  <w:style w:type="paragraph" w:styleId="Tekstbalonia">
    <w:name w:val="Balloon Text"/>
    <w:basedOn w:val="Normal"/>
    <w:link w:val="TekstbaloniaChar"/>
    <w:uiPriority w:val="99"/>
    <w:semiHidden/>
    <w:unhideWhenUsed/>
    <w:rsid w:val="0021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2157BC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E2030C"/>
    <w:pPr>
      <w:jc w:val="center"/>
    </w:pPr>
    <w:rPr>
      <w:b/>
    </w:rPr>
  </w:style>
  <w:style w:type="paragraph" w:customStyle="1" w:styleId="11">
    <w:name w:val="1.1."/>
    <w:basedOn w:val="Normal"/>
    <w:rsid w:val="00E2030C"/>
    <w:pPr>
      <w:jc w:val="center"/>
    </w:pPr>
    <w:rPr>
      <w:b/>
    </w:rPr>
  </w:style>
  <w:style w:type="character" w:customStyle="1" w:styleId="Naslov5Char">
    <w:name w:val="Naslov 5 Char"/>
    <w:link w:val="Naslov5"/>
    <w:uiPriority w:val="9"/>
    <w:rsid w:val="00425E03"/>
    <w:rPr>
      <w:rFonts w:ascii="Times New Roman" w:hAnsi="Times New Roman"/>
      <w:b/>
      <w:bCs/>
      <w:iCs/>
      <w:sz w:val="22"/>
      <w:szCs w:val="26"/>
      <w:lang w:eastAsia="en-US"/>
    </w:rPr>
  </w:style>
  <w:style w:type="character" w:customStyle="1" w:styleId="Naslov6Char">
    <w:name w:val="Naslov 6 Char"/>
    <w:link w:val="Naslov6"/>
    <w:uiPriority w:val="9"/>
    <w:rsid w:val="00C53A95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customStyle="1" w:styleId="Naslov7Char">
    <w:name w:val="Naslov 7 Char"/>
    <w:link w:val="Naslov7"/>
    <w:uiPriority w:val="9"/>
    <w:rsid w:val="00C53A95"/>
    <w:rPr>
      <w:rFonts w:ascii="Times New Roman" w:eastAsia="Times New Roman" w:hAnsi="Times New Roman" w:cs="Times New Roman"/>
      <w:b/>
      <w:szCs w:val="24"/>
      <w:lang w:eastAsia="en-US"/>
    </w:rPr>
  </w:style>
  <w:style w:type="paragraph" w:customStyle="1" w:styleId="111">
    <w:name w:val="1.1.1"/>
    <w:basedOn w:val="Normal"/>
    <w:rsid w:val="001A3FDB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</w:rPr>
  </w:style>
  <w:style w:type="character" w:customStyle="1" w:styleId="Naslov2Char">
    <w:name w:val="Naslov 2 Char"/>
    <w:link w:val="Naslov2"/>
    <w:rsid w:val="001A3FD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slov3Char">
    <w:name w:val="Naslov 3 Char"/>
    <w:link w:val="Naslov3"/>
    <w:rsid w:val="001A3FDB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slov4Char">
    <w:name w:val="Naslov 4 Char"/>
    <w:link w:val="Naslov4"/>
    <w:uiPriority w:val="9"/>
    <w:rsid w:val="001A3FDB"/>
    <w:rPr>
      <w:rFonts w:ascii="Times New Roman" w:eastAsia="Times New Roman" w:hAnsi="Times New Roman" w:cs="Times New Roman"/>
      <w:b/>
      <w:bCs/>
      <w:sz w:val="24"/>
      <w:szCs w:val="28"/>
      <w:lang w:eastAsia="en-US"/>
    </w:rPr>
  </w:style>
  <w:style w:type="character" w:customStyle="1" w:styleId="Naslov1Char">
    <w:name w:val="Naslov 1 Char"/>
    <w:link w:val="Naslov1"/>
    <w:rsid w:val="00726EBB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styleId="Brojstranice">
    <w:name w:val="page number"/>
    <w:basedOn w:val="Zadanifontodlomka"/>
    <w:rsid w:val="00726EBB"/>
  </w:style>
  <w:style w:type="character" w:customStyle="1" w:styleId="TekstfusnoteChar">
    <w:name w:val="Tekst fusnote Char"/>
    <w:link w:val="Tekstfusnote"/>
    <w:semiHidden/>
    <w:rsid w:val="00726EBB"/>
    <w:rPr>
      <w:rFonts w:ascii="Times New Roman" w:eastAsia="Times New Roman" w:hAnsi="Times New Roman"/>
      <w:lang w:val="en-US" w:eastAsia="en-US"/>
    </w:rPr>
  </w:style>
  <w:style w:type="paragraph" w:styleId="Tekstfusnote">
    <w:name w:val="footnote text"/>
    <w:basedOn w:val="Normal"/>
    <w:link w:val="TekstfusnoteChar"/>
    <w:semiHidden/>
    <w:rsid w:val="00726EBB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726EBB"/>
    <w:rPr>
      <w:lang w:eastAsia="en-US"/>
    </w:rPr>
  </w:style>
  <w:style w:type="paragraph" w:customStyle="1" w:styleId="brojdesno2">
    <w:name w:val="brojdesno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">
    <w:name w:val="t-98-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lasa2">
    <w:name w:val="klasa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otpisnik">
    <w:name w:val="potpisni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726EBB"/>
  </w:style>
  <w:style w:type="paragraph" w:customStyle="1" w:styleId="t-119sred">
    <w:name w:val="t-119sred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109curz">
    <w:name w:val="t-109curz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">
    <w:name w:val="n1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">
    <w:name w:val="n2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1a">
    <w:name w:val="n1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n2a">
    <w:name w:val="n2a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StandardWeb">
    <w:name w:val="Normal (Web)"/>
    <w:basedOn w:val="Normal"/>
    <w:unhideWhenUsed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8-20">
    <w:name w:val="T-9/8-2"/>
    <w:basedOn w:val="Normal"/>
    <w:rsid w:val="00726EBB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GB"/>
    </w:rPr>
  </w:style>
  <w:style w:type="paragraph" w:customStyle="1" w:styleId="Clanak0">
    <w:name w:val="Clanak"/>
    <w:next w:val="T-98-20"/>
    <w:rsid w:val="00726EBB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T-109curz0">
    <w:name w:val="T-10/9 curz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i/>
      <w:iCs/>
      <w:sz w:val="21"/>
      <w:szCs w:val="21"/>
      <w:lang w:val="en-GB" w:eastAsia="en-US"/>
    </w:rPr>
  </w:style>
  <w:style w:type="paragraph" w:styleId="Tijeloteksta">
    <w:name w:val="Body Text"/>
    <w:basedOn w:val="Normal"/>
    <w:link w:val="TijelotekstaChar"/>
    <w:rsid w:val="00726EBB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TijelotekstaChar">
    <w:name w:val="Tijelo teksta Char"/>
    <w:link w:val="Tijeloteksta"/>
    <w:rsid w:val="00726EBB"/>
    <w:rPr>
      <w:rFonts w:ascii="Arial" w:eastAsia="Times New Roman" w:hAnsi="Arial" w:cs="Arial"/>
      <w:sz w:val="28"/>
      <w:szCs w:val="24"/>
      <w:lang w:eastAsia="en-US"/>
    </w:rPr>
  </w:style>
  <w:style w:type="paragraph" w:customStyle="1" w:styleId="T-109fett">
    <w:name w:val="T-10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1"/>
      <w:szCs w:val="21"/>
      <w:lang w:val="en-US" w:eastAsia="en-US"/>
    </w:rPr>
  </w:style>
  <w:style w:type="paragraph" w:customStyle="1" w:styleId="T-109sred">
    <w:name w:val="T-10/9 sred"/>
    <w:rsid w:val="00726EBB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  <w:lang w:val="en-US" w:eastAsia="en-US"/>
    </w:rPr>
  </w:style>
  <w:style w:type="paragraph" w:customStyle="1" w:styleId="T-119fett">
    <w:name w:val="T-11/9 fett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US" w:eastAsia="en-US"/>
    </w:rPr>
  </w:style>
  <w:style w:type="paragraph" w:customStyle="1" w:styleId="T-119sred0">
    <w:name w:val="T-11/9 sred"/>
    <w:next w:val="T-98-20"/>
    <w:rsid w:val="00726EBB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sz w:val="23"/>
      <w:szCs w:val="23"/>
      <w:lang w:val="en-US" w:eastAsia="en-US"/>
    </w:rPr>
  </w:style>
  <w:style w:type="character" w:styleId="HTMLpisaistroj">
    <w:name w:val="HTML Typewriter"/>
    <w:rsid w:val="00726EBB"/>
    <w:rPr>
      <w:rFonts w:ascii="Courier New" w:eastAsia="Times New Roman" w:hAnsi="Courier New" w:cs="Courier New"/>
      <w:sz w:val="20"/>
      <w:szCs w:val="20"/>
    </w:rPr>
  </w:style>
  <w:style w:type="paragraph" w:styleId="Tijeloteksta2">
    <w:name w:val="Body Text 2"/>
    <w:basedOn w:val="Normal"/>
    <w:link w:val="Tijeloteksta2Char"/>
    <w:rsid w:val="00726EBB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ijeloteksta2Char">
    <w:name w:val="Tijelo teksta 2 Char"/>
    <w:link w:val="Tijeloteksta2"/>
    <w:rsid w:val="00726EBB"/>
    <w:rPr>
      <w:rFonts w:ascii="Times New Roman" w:eastAsia="Times New Roman" w:hAnsi="Times New Roman"/>
      <w:sz w:val="24"/>
      <w:szCs w:val="24"/>
      <w:lang w:eastAsia="en-US"/>
    </w:rPr>
  </w:style>
  <w:style w:type="paragraph" w:styleId="Obinitekst">
    <w:name w:val="Plain Text"/>
    <w:basedOn w:val="Normal"/>
    <w:link w:val="ObinitekstChar"/>
    <w:rsid w:val="00726E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ObinitekstChar">
    <w:name w:val="Obični tekst Char"/>
    <w:link w:val="Obinitekst"/>
    <w:rsid w:val="00726EBB"/>
    <w:rPr>
      <w:rFonts w:ascii="Courier New" w:eastAsia="Times New Roman" w:hAnsi="Courier New" w:cs="Courier New"/>
      <w:lang w:val="en-US" w:eastAsia="en-US"/>
    </w:rPr>
  </w:style>
  <w:style w:type="paragraph" w:styleId="Sadraj1">
    <w:name w:val="toc 1"/>
    <w:basedOn w:val="Normal"/>
    <w:next w:val="Normal"/>
    <w:autoRedefine/>
    <w:uiPriority w:val="39"/>
    <w:rsid w:val="00726EBB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2">
    <w:name w:val="toc 2"/>
    <w:basedOn w:val="Normal"/>
    <w:next w:val="Normal"/>
    <w:autoRedefine/>
    <w:uiPriority w:val="39"/>
    <w:rsid w:val="00726EBB"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en-US"/>
    </w:rPr>
  </w:style>
  <w:style w:type="paragraph" w:styleId="Sadraj3">
    <w:name w:val="toc 3"/>
    <w:basedOn w:val="Normal"/>
    <w:next w:val="Normal"/>
    <w:autoRedefine/>
    <w:uiPriority w:val="39"/>
    <w:rsid w:val="00726EBB"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veza">
    <w:name w:val="Hyperlink"/>
    <w:uiPriority w:val="99"/>
    <w:unhideWhenUsed/>
    <w:rsid w:val="00726EBB"/>
    <w:rPr>
      <w:color w:val="0000FF"/>
      <w:u w:val="single"/>
    </w:rPr>
  </w:style>
  <w:style w:type="paragraph" w:customStyle="1" w:styleId="t-9-8">
    <w:name w:val="t-9-8"/>
    <w:basedOn w:val="Normal"/>
    <w:rsid w:val="00726E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SlijeenaHiperveza">
    <w:name w:val="FollowedHyperlink"/>
    <w:uiPriority w:val="99"/>
    <w:semiHidden/>
    <w:unhideWhenUsed/>
    <w:rsid w:val="00A71198"/>
    <w:rPr>
      <w:color w:val="800080"/>
      <w:u w:val="single"/>
    </w:rPr>
  </w:style>
  <w:style w:type="character" w:customStyle="1" w:styleId="v207invalidact">
    <w:name w:val="v207invalidact"/>
    <w:basedOn w:val="Zadanifontodlomka"/>
    <w:rsid w:val="007D45AF"/>
  </w:style>
  <w:style w:type="paragraph" w:customStyle="1" w:styleId="box466357">
    <w:name w:val="box_466357"/>
    <w:basedOn w:val="Normal"/>
    <w:rsid w:val="001F52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67154"/>
    <w:rPr>
      <w:color w:val="605E5C"/>
      <w:shd w:val="clear" w:color="auto" w:fill="E1DFDD"/>
    </w:rPr>
  </w:style>
  <w:style w:type="paragraph" w:customStyle="1" w:styleId="box478224">
    <w:name w:val="box_478224"/>
    <w:basedOn w:val="Normal"/>
    <w:rsid w:val="00772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229">
    <w:name w:val="box_478229"/>
    <w:basedOn w:val="Normal"/>
    <w:rsid w:val="00573E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232">
    <w:name w:val="box_478232"/>
    <w:basedOn w:val="Normal"/>
    <w:rsid w:val="00893E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893E9C"/>
  </w:style>
  <w:style w:type="paragraph" w:customStyle="1" w:styleId="box478309">
    <w:name w:val="box_478309"/>
    <w:basedOn w:val="Normal"/>
    <w:rsid w:val="00554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77">
    <w:name w:val="box_478477"/>
    <w:basedOn w:val="Normal"/>
    <w:rsid w:val="000F41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79">
    <w:name w:val="box_478479"/>
    <w:basedOn w:val="Normal"/>
    <w:rsid w:val="003500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0">
    <w:name w:val="box_478480"/>
    <w:basedOn w:val="Normal"/>
    <w:rsid w:val="003956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1">
    <w:name w:val="box_478481"/>
    <w:basedOn w:val="Normal"/>
    <w:rsid w:val="00252E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82">
    <w:name w:val="box_478482"/>
    <w:basedOn w:val="Normal"/>
    <w:rsid w:val="008061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29">
    <w:name w:val="box_478729"/>
    <w:basedOn w:val="Normal"/>
    <w:rsid w:val="00415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3">
    <w:name w:val="box_478733"/>
    <w:basedOn w:val="Normal"/>
    <w:rsid w:val="007401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5">
    <w:name w:val="box_478735"/>
    <w:basedOn w:val="Normal"/>
    <w:rsid w:val="006F7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7">
    <w:name w:val="box_478737"/>
    <w:basedOn w:val="Normal"/>
    <w:rsid w:val="00C95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9">
    <w:name w:val="box_478739"/>
    <w:basedOn w:val="Normal"/>
    <w:rsid w:val="00AE7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1">
    <w:name w:val="box_478741"/>
    <w:basedOn w:val="Normal"/>
    <w:rsid w:val="00874D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2">
    <w:name w:val="box_478742"/>
    <w:basedOn w:val="Normal"/>
    <w:rsid w:val="00041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40">
    <w:name w:val="box_478740"/>
    <w:basedOn w:val="Normal"/>
    <w:rsid w:val="00FE47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6">
    <w:name w:val="box_478736"/>
    <w:basedOn w:val="Normal"/>
    <w:rsid w:val="00A55D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4">
    <w:name w:val="box_478734"/>
    <w:basedOn w:val="Normal"/>
    <w:rsid w:val="008F2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30">
    <w:name w:val="box_478730"/>
    <w:basedOn w:val="Normal"/>
    <w:rsid w:val="00664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728">
    <w:name w:val="box_478728"/>
    <w:basedOn w:val="Normal"/>
    <w:rsid w:val="00A00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A0018D"/>
  </w:style>
  <w:style w:type="paragraph" w:customStyle="1" w:styleId="box478727">
    <w:name w:val="box_478727"/>
    <w:basedOn w:val="Normal"/>
    <w:rsid w:val="00B173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8459">
    <w:name w:val="box_478459"/>
    <w:basedOn w:val="Normal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9375">
    <w:name w:val="box_479375"/>
    <w:basedOn w:val="Normal"/>
    <w:rsid w:val="00843D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D63D0B"/>
  </w:style>
  <w:style w:type="paragraph" w:customStyle="1" w:styleId="msonormal0">
    <w:name w:val="msonormal"/>
    <w:basedOn w:val="Normal"/>
    <w:rsid w:val="00D63D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9376">
    <w:name w:val="box_479376"/>
    <w:basedOn w:val="Normal"/>
    <w:rsid w:val="00D63D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box479916">
    <w:name w:val="box_479916"/>
    <w:basedOn w:val="Normal"/>
    <w:rsid w:val="00453D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706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59374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792754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6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3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344226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379708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0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39297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72855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29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10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890566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2669553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2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0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2043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2762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1667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9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5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07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778003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462744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6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e%20Bori&#263;\Documents\Desktop\ZakonTemplate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C7AF-5C1A-49C3-90CC-D921A5DE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ZakonTemplate</Template>
  <TotalTime>0</TotalTime>
  <Pages>9</Pages>
  <Words>5821</Words>
  <Characters>29166</Characters>
  <Application>Microsoft Office Word</Application>
  <DocSecurity>0</DocSecurity>
  <Lines>441</Lines>
  <Paragraphs>65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Borić</dc:creator>
  <cp:keywords>Zakon.hr</cp:keywords>
  <dc:description/>
  <cp:lastModifiedBy>Ante</cp:lastModifiedBy>
  <cp:revision>3</cp:revision>
  <dcterms:created xsi:type="dcterms:W3CDTF">2025-05-05T10:39:00Z</dcterms:created>
  <dcterms:modified xsi:type="dcterms:W3CDTF">2025-05-07T12:16:00Z</dcterms:modified>
</cp:coreProperties>
</file>