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56F01" w14:textId="7BA9B467" w:rsidR="00453D55" w:rsidRDefault="00453D55" w:rsidP="007E17BF">
      <w:pPr>
        <w:spacing w:beforeLines="30" w:before="72" w:afterLines="30" w:after="72"/>
        <w:rPr>
          <w:rFonts w:ascii="Times New Roman" w:hAnsi="Times New Roman"/>
          <w:sz w:val="20"/>
          <w:szCs w:val="20"/>
        </w:rPr>
      </w:pPr>
    </w:p>
    <w:p w14:paraId="74EBF63B" w14:textId="77777777" w:rsidR="0010378E" w:rsidRPr="007E17BF" w:rsidRDefault="0010378E" w:rsidP="007E17BF">
      <w:pPr>
        <w:spacing w:beforeLines="30" w:before="72" w:afterLines="30" w:after="72"/>
        <w:rPr>
          <w:rFonts w:ascii="Times New Roman" w:hAnsi="Times New Roman"/>
          <w:sz w:val="20"/>
          <w:szCs w:val="20"/>
        </w:rPr>
      </w:pPr>
    </w:p>
    <w:p w14:paraId="5152FB32" w14:textId="77777777" w:rsidR="007E17BF" w:rsidRPr="007E17BF" w:rsidRDefault="007E17BF" w:rsidP="007E17BF">
      <w:pPr>
        <w:spacing w:beforeLines="30" w:before="72" w:afterLines="30" w:after="72"/>
        <w:rPr>
          <w:rFonts w:ascii="Times New Roman" w:hAnsi="Times New Roman"/>
          <w:sz w:val="20"/>
          <w:szCs w:val="20"/>
        </w:rPr>
      </w:pPr>
    </w:p>
    <w:p w14:paraId="4E0526B1" w14:textId="0979C851"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b/>
          <w:bCs/>
          <w:color w:val="231F20"/>
          <w:sz w:val="32"/>
          <w:szCs w:val="32"/>
          <w:lang w:eastAsia="hr-HR"/>
        </w:rPr>
      </w:pPr>
      <w:r w:rsidRPr="007E17BF">
        <w:rPr>
          <w:rFonts w:ascii="Times New Roman" w:eastAsia="Times New Roman" w:hAnsi="Times New Roman"/>
          <w:b/>
          <w:bCs/>
          <w:color w:val="231F20"/>
          <w:sz w:val="32"/>
          <w:szCs w:val="32"/>
          <w:lang w:eastAsia="hr-HR"/>
        </w:rPr>
        <w:t>ZAKON</w:t>
      </w:r>
      <w:r w:rsidRPr="007E17BF">
        <w:rPr>
          <w:rFonts w:ascii="Times New Roman" w:eastAsia="Times New Roman" w:hAnsi="Times New Roman"/>
          <w:b/>
          <w:bCs/>
          <w:color w:val="231F20"/>
          <w:sz w:val="32"/>
          <w:szCs w:val="32"/>
          <w:lang w:eastAsia="hr-HR"/>
        </w:rPr>
        <w:t xml:space="preserve"> </w:t>
      </w:r>
      <w:r w:rsidRPr="007E17BF">
        <w:rPr>
          <w:rFonts w:ascii="Times New Roman" w:eastAsia="Times New Roman" w:hAnsi="Times New Roman"/>
          <w:b/>
          <w:bCs/>
          <w:color w:val="231F20"/>
          <w:sz w:val="32"/>
          <w:szCs w:val="32"/>
          <w:lang w:eastAsia="hr-HR"/>
        </w:rPr>
        <w:t>O PROSTORNOM UREĐENJU</w:t>
      </w:r>
    </w:p>
    <w:p w14:paraId="2F88055D" w14:textId="77777777" w:rsid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65E2416A" w14:textId="77777777" w:rsid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0C8C48D0" w14:textId="2F88C5F5" w:rsidR="0010378E" w:rsidRPr="0010378E" w:rsidRDefault="0010378E" w:rsidP="0010378E">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r w:rsidRPr="0010378E">
        <w:rPr>
          <w:color w:val="231F20"/>
          <w:sz w:val="20"/>
          <w:szCs w:val="20"/>
          <w:lang w:eastAsia="hr-HR"/>
        </w:rPr>
        <w:fldChar w:fldCharType="begin"/>
      </w:r>
      <w:r w:rsidRPr="0010378E">
        <w:rPr>
          <w:color w:val="231F20"/>
          <w:sz w:val="20"/>
          <w:szCs w:val="20"/>
          <w:lang w:eastAsia="hr-HR"/>
        </w:rPr>
        <w:instrText xml:space="preserve"> TOC \h \z \u \t "Naslov 3;1;Naslov 4;2;Naslov 5;3" </w:instrText>
      </w:r>
      <w:r w:rsidRPr="0010378E">
        <w:rPr>
          <w:color w:val="231F20"/>
          <w:sz w:val="20"/>
          <w:szCs w:val="20"/>
          <w:lang w:eastAsia="hr-HR"/>
        </w:rPr>
        <w:fldChar w:fldCharType="separate"/>
      </w:r>
      <w:hyperlink w:anchor="_Toc219166917" w:history="1">
        <w:r w:rsidRPr="0010378E">
          <w:rPr>
            <w:rStyle w:val="Hiperveza"/>
            <w:noProof/>
            <w:sz w:val="20"/>
            <w:szCs w:val="20"/>
            <w:lang w:eastAsia="hr-HR"/>
          </w:rPr>
          <w:t>DIO PRVI   OSNOVNE ODREDBE</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_Toc219166917 \h </w:instrText>
        </w:r>
        <w:r w:rsidRPr="0010378E">
          <w:rPr>
            <w:noProof/>
            <w:webHidden/>
            <w:sz w:val="20"/>
            <w:szCs w:val="20"/>
          </w:rPr>
        </w:r>
        <w:r w:rsidRPr="0010378E">
          <w:rPr>
            <w:noProof/>
            <w:webHidden/>
            <w:sz w:val="20"/>
            <w:szCs w:val="20"/>
          </w:rPr>
          <w:fldChar w:fldCharType="separate"/>
        </w:r>
        <w:r w:rsidRPr="0010378E">
          <w:rPr>
            <w:noProof/>
            <w:webHidden/>
            <w:sz w:val="20"/>
            <w:szCs w:val="20"/>
          </w:rPr>
          <w:t>2</w:t>
        </w:r>
        <w:r w:rsidRPr="0010378E">
          <w:rPr>
            <w:noProof/>
            <w:webHidden/>
            <w:sz w:val="20"/>
            <w:szCs w:val="20"/>
          </w:rPr>
          <w:fldChar w:fldCharType="end"/>
        </w:r>
      </w:hyperlink>
    </w:p>
    <w:p w14:paraId="7CD1F906" w14:textId="1B0C8A8E" w:rsidR="0010378E" w:rsidRPr="0010378E" w:rsidRDefault="0010378E" w:rsidP="0010378E">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18" w:history="1">
        <w:r w:rsidRPr="0010378E">
          <w:rPr>
            <w:rStyle w:val="Hiperveza"/>
            <w:noProof/>
            <w:sz w:val="20"/>
            <w:szCs w:val="20"/>
            <w:lang w:eastAsia="hr-HR"/>
          </w:rPr>
          <w:t>DIO DRUGI   SUBJEKTI PROSTORNOG UREĐENJA</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_Toc219166918 \h </w:instrText>
        </w:r>
        <w:r w:rsidRPr="0010378E">
          <w:rPr>
            <w:noProof/>
            <w:webHidden/>
            <w:sz w:val="20"/>
            <w:szCs w:val="20"/>
          </w:rPr>
        </w:r>
        <w:r w:rsidRPr="0010378E">
          <w:rPr>
            <w:noProof/>
            <w:webHidden/>
            <w:sz w:val="20"/>
            <w:szCs w:val="20"/>
          </w:rPr>
          <w:fldChar w:fldCharType="separate"/>
        </w:r>
        <w:r w:rsidRPr="0010378E">
          <w:rPr>
            <w:noProof/>
            <w:webHidden/>
            <w:sz w:val="20"/>
            <w:szCs w:val="20"/>
          </w:rPr>
          <w:t>10</w:t>
        </w:r>
        <w:r w:rsidRPr="0010378E">
          <w:rPr>
            <w:noProof/>
            <w:webHidden/>
            <w:sz w:val="20"/>
            <w:szCs w:val="20"/>
          </w:rPr>
          <w:fldChar w:fldCharType="end"/>
        </w:r>
      </w:hyperlink>
    </w:p>
    <w:p w14:paraId="1E4B547E" w14:textId="7A299507" w:rsidR="0010378E" w:rsidRPr="0010378E" w:rsidRDefault="0010378E" w:rsidP="0010378E">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19" w:history="1">
        <w:r w:rsidRPr="0010378E">
          <w:rPr>
            <w:rStyle w:val="Hiperveza"/>
            <w:noProof/>
            <w:sz w:val="20"/>
            <w:szCs w:val="20"/>
            <w:lang w:eastAsia="hr-HR"/>
          </w:rPr>
          <w:t>DIO TREĆI    PRAĆENJE STANJA U PROSTORU I PODRUČJU PROSTORNOG UREĐENJA</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_Toc219166919 \h </w:instrText>
        </w:r>
        <w:r w:rsidRPr="0010378E">
          <w:rPr>
            <w:noProof/>
            <w:webHidden/>
            <w:sz w:val="20"/>
            <w:szCs w:val="20"/>
          </w:rPr>
        </w:r>
        <w:r w:rsidRPr="0010378E">
          <w:rPr>
            <w:noProof/>
            <w:webHidden/>
            <w:sz w:val="20"/>
            <w:szCs w:val="20"/>
          </w:rPr>
          <w:fldChar w:fldCharType="separate"/>
        </w:r>
        <w:r w:rsidRPr="0010378E">
          <w:rPr>
            <w:noProof/>
            <w:webHidden/>
            <w:sz w:val="20"/>
            <w:szCs w:val="20"/>
          </w:rPr>
          <w:t>13</w:t>
        </w:r>
        <w:r w:rsidRPr="0010378E">
          <w:rPr>
            <w:noProof/>
            <w:webHidden/>
            <w:sz w:val="20"/>
            <w:szCs w:val="20"/>
          </w:rPr>
          <w:fldChar w:fldCharType="end"/>
        </w:r>
      </w:hyperlink>
    </w:p>
    <w:p w14:paraId="4AF51C3F" w14:textId="4D17911E" w:rsidR="0010378E" w:rsidRPr="0010378E" w:rsidRDefault="0010378E" w:rsidP="0010378E">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20" w:history="1">
        <w:r w:rsidRPr="0010378E">
          <w:rPr>
            <w:rStyle w:val="Hiperveza"/>
            <w:noProof/>
            <w:sz w:val="20"/>
            <w:szCs w:val="20"/>
            <w:lang w:eastAsia="hr-HR"/>
          </w:rPr>
          <w:t>DIO ČETVRTI   UVJETI PLANIRANJA PROSTORA</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_Toc219166920 \h </w:instrText>
        </w:r>
        <w:r w:rsidRPr="0010378E">
          <w:rPr>
            <w:noProof/>
            <w:webHidden/>
            <w:sz w:val="20"/>
            <w:szCs w:val="20"/>
          </w:rPr>
        </w:r>
        <w:r w:rsidRPr="0010378E">
          <w:rPr>
            <w:noProof/>
            <w:webHidden/>
            <w:sz w:val="20"/>
            <w:szCs w:val="20"/>
          </w:rPr>
          <w:fldChar w:fldCharType="separate"/>
        </w:r>
        <w:r w:rsidRPr="0010378E">
          <w:rPr>
            <w:noProof/>
            <w:webHidden/>
            <w:sz w:val="20"/>
            <w:szCs w:val="20"/>
          </w:rPr>
          <w:t>15</w:t>
        </w:r>
        <w:r w:rsidRPr="0010378E">
          <w:rPr>
            <w:noProof/>
            <w:webHidden/>
            <w:sz w:val="20"/>
            <w:szCs w:val="20"/>
          </w:rPr>
          <w:fldChar w:fldCharType="end"/>
        </w:r>
      </w:hyperlink>
    </w:p>
    <w:p w14:paraId="384978C0" w14:textId="1FE8D746" w:rsidR="0010378E" w:rsidRPr="0010378E" w:rsidRDefault="0010378E" w:rsidP="0010378E">
      <w:pPr>
        <w:pStyle w:val="Sadraj2"/>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21" w:history="1">
        <w:r w:rsidRPr="0010378E">
          <w:rPr>
            <w:rStyle w:val="Hiperveza"/>
            <w:noProof/>
            <w:sz w:val="20"/>
            <w:szCs w:val="20"/>
            <w:lang w:eastAsia="hr-HR"/>
          </w:rPr>
          <w:t>GLAVA I.   PLANIRANJE U GRAĐEVINSKIM PODRUČJIMA</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_Toc219166921 \h </w:instrText>
        </w:r>
        <w:r w:rsidRPr="0010378E">
          <w:rPr>
            <w:noProof/>
            <w:webHidden/>
            <w:sz w:val="20"/>
            <w:szCs w:val="20"/>
          </w:rPr>
        </w:r>
        <w:r w:rsidRPr="0010378E">
          <w:rPr>
            <w:noProof/>
            <w:webHidden/>
            <w:sz w:val="20"/>
            <w:szCs w:val="20"/>
          </w:rPr>
          <w:fldChar w:fldCharType="separate"/>
        </w:r>
        <w:r w:rsidRPr="0010378E">
          <w:rPr>
            <w:noProof/>
            <w:webHidden/>
            <w:sz w:val="20"/>
            <w:szCs w:val="20"/>
          </w:rPr>
          <w:t>15</w:t>
        </w:r>
        <w:r w:rsidRPr="0010378E">
          <w:rPr>
            <w:noProof/>
            <w:webHidden/>
            <w:sz w:val="20"/>
            <w:szCs w:val="20"/>
          </w:rPr>
          <w:fldChar w:fldCharType="end"/>
        </w:r>
      </w:hyperlink>
    </w:p>
    <w:p w14:paraId="75AA2BBF" w14:textId="44BA4D40" w:rsidR="0010378E" w:rsidRPr="0010378E" w:rsidRDefault="0010378E" w:rsidP="0010378E">
      <w:pPr>
        <w:pStyle w:val="Sadraj2"/>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22" w:history="1">
        <w:r w:rsidRPr="0010378E">
          <w:rPr>
            <w:rStyle w:val="Hiperveza"/>
            <w:noProof/>
            <w:sz w:val="20"/>
            <w:szCs w:val="20"/>
            <w:lang w:eastAsia="hr-HR"/>
          </w:rPr>
          <w:t>GLAVA II.   PLANIRANJE IZVAN GRAĐEVINSKIH PODRUČJA</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_Toc219166922 \h </w:instrText>
        </w:r>
        <w:r w:rsidRPr="0010378E">
          <w:rPr>
            <w:noProof/>
            <w:webHidden/>
            <w:sz w:val="20"/>
            <w:szCs w:val="20"/>
          </w:rPr>
        </w:r>
        <w:r w:rsidRPr="0010378E">
          <w:rPr>
            <w:noProof/>
            <w:webHidden/>
            <w:sz w:val="20"/>
            <w:szCs w:val="20"/>
          </w:rPr>
          <w:fldChar w:fldCharType="separate"/>
        </w:r>
        <w:r w:rsidRPr="0010378E">
          <w:rPr>
            <w:noProof/>
            <w:webHidden/>
            <w:sz w:val="20"/>
            <w:szCs w:val="20"/>
          </w:rPr>
          <w:t>17</w:t>
        </w:r>
        <w:r w:rsidRPr="0010378E">
          <w:rPr>
            <w:noProof/>
            <w:webHidden/>
            <w:sz w:val="20"/>
            <w:szCs w:val="20"/>
          </w:rPr>
          <w:fldChar w:fldCharType="end"/>
        </w:r>
      </w:hyperlink>
    </w:p>
    <w:p w14:paraId="1C5D41F7" w14:textId="3B2B2562" w:rsidR="0010378E" w:rsidRPr="0010378E" w:rsidRDefault="0010378E" w:rsidP="0010378E">
      <w:pPr>
        <w:pStyle w:val="Sadraj2"/>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23" w:history="1">
        <w:r w:rsidRPr="0010378E">
          <w:rPr>
            <w:rStyle w:val="Hiperveza"/>
            <w:noProof/>
            <w:sz w:val="20"/>
            <w:szCs w:val="20"/>
            <w:lang w:eastAsia="hr-HR"/>
          </w:rPr>
          <w:t>GLAVA III.   PLANIRANJE POVRŠINA VEĆIH PROSTORNIH OBUHVATA OD ZNAČAJA ZA REPUBLIKU HRVATSKU</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_Toc219166923 \h </w:instrText>
        </w:r>
        <w:r w:rsidRPr="0010378E">
          <w:rPr>
            <w:noProof/>
            <w:webHidden/>
            <w:sz w:val="20"/>
            <w:szCs w:val="20"/>
          </w:rPr>
        </w:r>
        <w:r w:rsidRPr="0010378E">
          <w:rPr>
            <w:noProof/>
            <w:webHidden/>
            <w:sz w:val="20"/>
            <w:szCs w:val="20"/>
          </w:rPr>
          <w:fldChar w:fldCharType="separate"/>
        </w:r>
        <w:r w:rsidRPr="0010378E">
          <w:rPr>
            <w:noProof/>
            <w:webHidden/>
            <w:sz w:val="20"/>
            <w:szCs w:val="20"/>
          </w:rPr>
          <w:t>18</w:t>
        </w:r>
        <w:r w:rsidRPr="0010378E">
          <w:rPr>
            <w:noProof/>
            <w:webHidden/>
            <w:sz w:val="20"/>
            <w:szCs w:val="20"/>
          </w:rPr>
          <w:fldChar w:fldCharType="end"/>
        </w:r>
      </w:hyperlink>
    </w:p>
    <w:p w14:paraId="40B852B5" w14:textId="717DD70F" w:rsidR="0010378E" w:rsidRPr="0010378E" w:rsidRDefault="0010378E" w:rsidP="0010378E">
      <w:pPr>
        <w:pStyle w:val="Sadraj3"/>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24" w:history="1">
        <w:r w:rsidRPr="0010378E">
          <w:rPr>
            <w:rStyle w:val="Hiperveza"/>
            <w:noProof/>
            <w:sz w:val="20"/>
            <w:szCs w:val="20"/>
            <w:lang w:eastAsia="hr-HR"/>
          </w:rPr>
          <w:t>POGLAVLJE I.   POVRŠINE NAMIJENJENE PRIUŠTIVOM STANOVANJU</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_Toc219166924 \h </w:instrText>
        </w:r>
        <w:r w:rsidRPr="0010378E">
          <w:rPr>
            <w:noProof/>
            <w:webHidden/>
            <w:sz w:val="20"/>
            <w:szCs w:val="20"/>
          </w:rPr>
        </w:r>
        <w:r w:rsidRPr="0010378E">
          <w:rPr>
            <w:noProof/>
            <w:webHidden/>
            <w:sz w:val="20"/>
            <w:szCs w:val="20"/>
          </w:rPr>
          <w:fldChar w:fldCharType="separate"/>
        </w:r>
        <w:r w:rsidRPr="0010378E">
          <w:rPr>
            <w:noProof/>
            <w:webHidden/>
            <w:sz w:val="20"/>
            <w:szCs w:val="20"/>
          </w:rPr>
          <w:t>18</w:t>
        </w:r>
        <w:r w:rsidRPr="0010378E">
          <w:rPr>
            <w:noProof/>
            <w:webHidden/>
            <w:sz w:val="20"/>
            <w:szCs w:val="20"/>
          </w:rPr>
          <w:fldChar w:fldCharType="end"/>
        </w:r>
      </w:hyperlink>
    </w:p>
    <w:p w14:paraId="7A49C982" w14:textId="20926A5F" w:rsidR="0010378E" w:rsidRPr="0010378E" w:rsidRDefault="0010378E" w:rsidP="0010378E">
      <w:pPr>
        <w:pStyle w:val="Sadraj3"/>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25" w:history="1">
        <w:r w:rsidRPr="0010378E">
          <w:rPr>
            <w:rStyle w:val="Hiperveza"/>
            <w:noProof/>
            <w:sz w:val="20"/>
            <w:szCs w:val="20"/>
            <w:lang w:eastAsia="hr-HR"/>
          </w:rPr>
          <w:t>POGLAVLJE II.   LINIJSKE INFRASTRUKTURNE GRAĐEVINE</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_Toc219166925 \h </w:instrText>
        </w:r>
        <w:r w:rsidRPr="0010378E">
          <w:rPr>
            <w:noProof/>
            <w:webHidden/>
            <w:sz w:val="20"/>
            <w:szCs w:val="20"/>
          </w:rPr>
        </w:r>
        <w:r w:rsidRPr="0010378E">
          <w:rPr>
            <w:noProof/>
            <w:webHidden/>
            <w:sz w:val="20"/>
            <w:szCs w:val="20"/>
          </w:rPr>
          <w:fldChar w:fldCharType="separate"/>
        </w:r>
        <w:r w:rsidRPr="0010378E">
          <w:rPr>
            <w:noProof/>
            <w:webHidden/>
            <w:sz w:val="20"/>
            <w:szCs w:val="20"/>
          </w:rPr>
          <w:t>18</w:t>
        </w:r>
        <w:r w:rsidRPr="0010378E">
          <w:rPr>
            <w:noProof/>
            <w:webHidden/>
            <w:sz w:val="20"/>
            <w:szCs w:val="20"/>
          </w:rPr>
          <w:fldChar w:fldCharType="end"/>
        </w:r>
      </w:hyperlink>
    </w:p>
    <w:p w14:paraId="7BC485AC" w14:textId="36FA0E12" w:rsidR="0010378E" w:rsidRPr="0010378E" w:rsidRDefault="0010378E" w:rsidP="0010378E">
      <w:pPr>
        <w:pStyle w:val="Sadraj3"/>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26" w:history="1">
        <w:r w:rsidRPr="0010378E">
          <w:rPr>
            <w:rStyle w:val="Hiperveza"/>
            <w:noProof/>
            <w:sz w:val="20"/>
            <w:szCs w:val="20"/>
            <w:lang w:eastAsia="hr-HR"/>
          </w:rPr>
          <w:t>POGLAVLJE III.   IGRALIŠTA ZA GOLF, IGRALIŠTA ZA POLO I SKIJALIŠTA KAO ZAHVATI U PROSTORU NA OTVORENOM</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_Toc219166926 \h </w:instrText>
        </w:r>
        <w:r w:rsidRPr="0010378E">
          <w:rPr>
            <w:noProof/>
            <w:webHidden/>
            <w:sz w:val="20"/>
            <w:szCs w:val="20"/>
          </w:rPr>
        </w:r>
        <w:r w:rsidRPr="0010378E">
          <w:rPr>
            <w:noProof/>
            <w:webHidden/>
            <w:sz w:val="20"/>
            <w:szCs w:val="20"/>
          </w:rPr>
          <w:fldChar w:fldCharType="separate"/>
        </w:r>
        <w:r w:rsidRPr="0010378E">
          <w:rPr>
            <w:noProof/>
            <w:webHidden/>
            <w:sz w:val="20"/>
            <w:szCs w:val="20"/>
          </w:rPr>
          <w:t>20</w:t>
        </w:r>
        <w:r w:rsidRPr="0010378E">
          <w:rPr>
            <w:noProof/>
            <w:webHidden/>
            <w:sz w:val="20"/>
            <w:szCs w:val="20"/>
          </w:rPr>
          <w:fldChar w:fldCharType="end"/>
        </w:r>
      </w:hyperlink>
    </w:p>
    <w:p w14:paraId="3D4904A8" w14:textId="7703571B" w:rsidR="0010378E" w:rsidRPr="0010378E" w:rsidRDefault="0010378E" w:rsidP="0010378E">
      <w:pPr>
        <w:pStyle w:val="Sadraj2"/>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27" w:history="1">
        <w:r w:rsidRPr="0010378E">
          <w:rPr>
            <w:rStyle w:val="Hiperveza"/>
            <w:noProof/>
            <w:sz w:val="20"/>
            <w:szCs w:val="20"/>
            <w:lang w:eastAsia="hr-HR"/>
          </w:rPr>
          <w:t>GLAVA IV.   ZAŠTIĆENO OBALNO PODRUČJE MORA</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_Toc219166927 \h </w:instrText>
        </w:r>
        <w:r w:rsidRPr="0010378E">
          <w:rPr>
            <w:noProof/>
            <w:webHidden/>
            <w:sz w:val="20"/>
            <w:szCs w:val="20"/>
          </w:rPr>
        </w:r>
        <w:r w:rsidRPr="0010378E">
          <w:rPr>
            <w:noProof/>
            <w:webHidden/>
            <w:sz w:val="20"/>
            <w:szCs w:val="20"/>
          </w:rPr>
          <w:fldChar w:fldCharType="separate"/>
        </w:r>
        <w:r w:rsidRPr="0010378E">
          <w:rPr>
            <w:noProof/>
            <w:webHidden/>
            <w:sz w:val="20"/>
            <w:szCs w:val="20"/>
          </w:rPr>
          <w:t>20</w:t>
        </w:r>
        <w:r w:rsidRPr="0010378E">
          <w:rPr>
            <w:noProof/>
            <w:webHidden/>
            <w:sz w:val="20"/>
            <w:szCs w:val="20"/>
          </w:rPr>
          <w:fldChar w:fldCharType="end"/>
        </w:r>
      </w:hyperlink>
    </w:p>
    <w:p w14:paraId="35446D89" w14:textId="48CFDC0C" w:rsidR="0010378E" w:rsidRPr="0010378E" w:rsidRDefault="0010378E" w:rsidP="0010378E">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28" w:history="1">
        <w:r w:rsidRPr="0010378E">
          <w:rPr>
            <w:rStyle w:val="Hiperveza"/>
            <w:noProof/>
            <w:sz w:val="20"/>
            <w:szCs w:val="20"/>
            <w:lang w:eastAsia="hr-HR"/>
          </w:rPr>
          <w:t>DIO PETI   DOKUMENTI PROSTORNOG UREĐENJA</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_Toc219166928 \h </w:instrText>
        </w:r>
        <w:r w:rsidRPr="0010378E">
          <w:rPr>
            <w:noProof/>
            <w:webHidden/>
            <w:sz w:val="20"/>
            <w:szCs w:val="20"/>
          </w:rPr>
        </w:r>
        <w:r w:rsidRPr="0010378E">
          <w:rPr>
            <w:noProof/>
            <w:webHidden/>
            <w:sz w:val="20"/>
            <w:szCs w:val="20"/>
          </w:rPr>
          <w:fldChar w:fldCharType="separate"/>
        </w:r>
        <w:r w:rsidRPr="0010378E">
          <w:rPr>
            <w:noProof/>
            <w:webHidden/>
            <w:sz w:val="20"/>
            <w:szCs w:val="20"/>
          </w:rPr>
          <w:t>27</w:t>
        </w:r>
        <w:r w:rsidRPr="0010378E">
          <w:rPr>
            <w:noProof/>
            <w:webHidden/>
            <w:sz w:val="20"/>
            <w:szCs w:val="20"/>
          </w:rPr>
          <w:fldChar w:fldCharType="end"/>
        </w:r>
      </w:hyperlink>
    </w:p>
    <w:p w14:paraId="1D2AE5B5" w14:textId="61C71365" w:rsidR="0010378E" w:rsidRPr="0010378E" w:rsidRDefault="0010378E" w:rsidP="0010378E">
      <w:pPr>
        <w:pStyle w:val="Sadraj2"/>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29" w:history="1">
        <w:r w:rsidRPr="0010378E">
          <w:rPr>
            <w:rStyle w:val="Hiperveza"/>
            <w:noProof/>
            <w:sz w:val="20"/>
            <w:szCs w:val="20"/>
            <w:lang w:eastAsia="hr-HR"/>
          </w:rPr>
          <w:t>GLAVA I.   STRATEGIJA PROSTORNOG RAZVOJA REPUBLIKE HRVATSKE</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_Toc219166929 \h </w:instrText>
        </w:r>
        <w:r w:rsidRPr="0010378E">
          <w:rPr>
            <w:noProof/>
            <w:webHidden/>
            <w:sz w:val="20"/>
            <w:szCs w:val="20"/>
          </w:rPr>
        </w:r>
        <w:r w:rsidRPr="0010378E">
          <w:rPr>
            <w:noProof/>
            <w:webHidden/>
            <w:sz w:val="20"/>
            <w:szCs w:val="20"/>
          </w:rPr>
          <w:fldChar w:fldCharType="separate"/>
        </w:r>
        <w:r w:rsidRPr="0010378E">
          <w:rPr>
            <w:noProof/>
            <w:webHidden/>
            <w:sz w:val="20"/>
            <w:szCs w:val="20"/>
          </w:rPr>
          <w:t>27</w:t>
        </w:r>
        <w:r w:rsidRPr="0010378E">
          <w:rPr>
            <w:noProof/>
            <w:webHidden/>
            <w:sz w:val="20"/>
            <w:szCs w:val="20"/>
          </w:rPr>
          <w:fldChar w:fldCharType="end"/>
        </w:r>
      </w:hyperlink>
    </w:p>
    <w:p w14:paraId="11BB086E" w14:textId="0910F2AC" w:rsidR="0010378E" w:rsidRPr="0010378E" w:rsidRDefault="0010378E" w:rsidP="0010378E">
      <w:pPr>
        <w:pStyle w:val="Sadraj2"/>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30" w:history="1">
        <w:r w:rsidRPr="0010378E">
          <w:rPr>
            <w:rStyle w:val="Hiperveza"/>
            <w:noProof/>
            <w:sz w:val="20"/>
            <w:szCs w:val="20"/>
            <w:lang w:eastAsia="hr-HR"/>
          </w:rPr>
          <w:t>GLAVA II.   PROSTORNI PLANOVI</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_Toc219166930 \h </w:instrText>
        </w:r>
        <w:r w:rsidRPr="0010378E">
          <w:rPr>
            <w:noProof/>
            <w:webHidden/>
            <w:sz w:val="20"/>
            <w:szCs w:val="20"/>
          </w:rPr>
        </w:r>
        <w:r w:rsidRPr="0010378E">
          <w:rPr>
            <w:noProof/>
            <w:webHidden/>
            <w:sz w:val="20"/>
            <w:szCs w:val="20"/>
          </w:rPr>
          <w:fldChar w:fldCharType="separate"/>
        </w:r>
        <w:r w:rsidRPr="0010378E">
          <w:rPr>
            <w:noProof/>
            <w:webHidden/>
            <w:sz w:val="20"/>
            <w:szCs w:val="20"/>
          </w:rPr>
          <w:t>27</w:t>
        </w:r>
        <w:r w:rsidRPr="0010378E">
          <w:rPr>
            <w:noProof/>
            <w:webHidden/>
            <w:sz w:val="20"/>
            <w:szCs w:val="20"/>
          </w:rPr>
          <w:fldChar w:fldCharType="end"/>
        </w:r>
      </w:hyperlink>
    </w:p>
    <w:p w14:paraId="4F3F15DD" w14:textId="603BA1F5" w:rsidR="0010378E" w:rsidRPr="0010378E" w:rsidRDefault="0010378E" w:rsidP="0010378E">
      <w:pPr>
        <w:pStyle w:val="Sadraj3"/>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31" w:history="1">
        <w:r w:rsidRPr="0010378E">
          <w:rPr>
            <w:rStyle w:val="Hiperveza"/>
            <w:noProof/>
            <w:sz w:val="20"/>
            <w:szCs w:val="20"/>
            <w:lang w:eastAsia="hr-HR"/>
          </w:rPr>
          <w:t>POGLAVLJE I.   OPĆE ODREDBE</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_Toc219166931 \h </w:instrText>
        </w:r>
        <w:r w:rsidRPr="0010378E">
          <w:rPr>
            <w:noProof/>
            <w:webHidden/>
            <w:sz w:val="20"/>
            <w:szCs w:val="20"/>
          </w:rPr>
        </w:r>
        <w:r w:rsidRPr="0010378E">
          <w:rPr>
            <w:noProof/>
            <w:webHidden/>
            <w:sz w:val="20"/>
            <w:szCs w:val="20"/>
          </w:rPr>
          <w:fldChar w:fldCharType="separate"/>
        </w:r>
        <w:r w:rsidRPr="0010378E">
          <w:rPr>
            <w:noProof/>
            <w:webHidden/>
            <w:sz w:val="20"/>
            <w:szCs w:val="20"/>
          </w:rPr>
          <w:t>27</w:t>
        </w:r>
        <w:r w:rsidRPr="0010378E">
          <w:rPr>
            <w:noProof/>
            <w:webHidden/>
            <w:sz w:val="20"/>
            <w:szCs w:val="20"/>
          </w:rPr>
          <w:fldChar w:fldCharType="end"/>
        </w:r>
      </w:hyperlink>
    </w:p>
    <w:p w14:paraId="42369813" w14:textId="0B56C7FB" w:rsidR="0010378E" w:rsidRPr="0010378E" w:rsidRDefault="0010378E" w:rsidP="0010378E">
      <w:pPr>
        <w:pStyle w:val="Sadraj3"/>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32" w:history="1">
        <w:r w:rsidRPr="0010378E">
          <w:rPr>
            <w:rStyle w:val="Hiperveza"/>
            <w:noProof/>
            <w:sz w:val="20"/>
            <w:szCs w:val="20"/>
            <w:lang w:eastAsia="hr-HR"/>
          </w:rPr>
          <w:t>POGLAVLJE II.   NATJEČAJI IZ PODRUČJA ARHITEKTURE I URBANIZMA</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_Toc219166932 \h </w:instrText>
        </w:r>
        <w:r w:rsidRPr="0010378E">
          <w:rPr>
            <w:noProof/>
            <w:webHidden/>
            <w:sz w:val="20"/>
            <w:szCs w:val="20"/>
          </w:rPr>
        </w:r>
        <w:r w:rsidRPr="0010378E">
          <w:rPr>
            <w:noProof/>
            <w:webHidden/>
            <w:sz w:val="20"/>
            <w:szCs w:val="20"/>
          </w:rPr>
          <w:fldChar w:fldCharType="separate"/>
        </w:r>
        <w:r w:rsidRPr="0010378E">
          <w:rPr>
            <w:noProof/>
            <w:webHidden/>
            <w:sz w:val="20"/>
            <w:szCs w:val="20"/>
          </w:rPr>
          <w:t>30</w:t>
        </w:r>
        <w:r w:rsidRPr="0010378E">
          <w:rPr>
            <w:noProof/>
            <w:webHidden/>
            <w:sz w:val="20"/>
            <w:szCs w:val="20"/>
          </w:rPr>
          <w:fldChar w:fldCharType="end"/>
        </w:r>
      </w:hyperlink>
    </w:p>
    <w:p w14:paraId="4374F41C" w14:textId="657A12A4" w:rsidR="0010378E" w:rsidRPr="0010378E" w:rsidRDefault="0010378E" w:rsidP="0010378E">
      <w:pPr>
        <w:pStyle w:val="Sadraj3"/>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33" w:history="1">
        <w:r w:rsidRPr="0010378E">
          <w:rPr>
            <w:rStyle w:val="Hiperveza"/>
            <w:noProof/>
            <w:sz w:val="20"/>
            <w:szCs w:val="20"/>
            <w:lang w:eastAsia="hr-HR"/>
          </w:rPr>
          <w:t>POGLAVLJE III.   PROSTORNI PLANOVI DRŽAVNE RAZINE</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_Toc219166933 \h </w:instrText>
        </w:r>
        <w:r w:rsidRPr="0010378E">
          <w:rPr>
            <w:noProof/>
            <w:webHidden/>
            <w:sz w:val="20"/>
            <w:szCs w:val="20"/>
          </w:rPr>
        </w:r>
        <w:r w:rsidRPr="0010378E">
          <w:rPr>
            <w:noProof/>
            <w:webHidden/>
            <w:sz w:val="20"/>
            <w:szCs w:val="20"/>
          </w:rPr>
          <w:fldChar w:fldCharType="separate"/>
        </w:r>
        <w:r w:rsidRPr="0010378E">
          <w:rPr>
            <w:noProof/>
            <w:webHidden/>
            <w:sz w:val="20"/>
            <w:szCs w:val="20"/>
          </w:rPr>
          <w:t>31</w:t>
        </w:r>
        <w:r w:rsidRPr="0010378E">
          <w:rPr>
            <w:noProof/>
            <w:webHidden/>
            <w:sz w:val="20"/>
            <w:szCs w:val="20"/>
          </w:rPr>
          <w:fldChar w:fldCharType="end"/>
        </w:r>
      </w:hyperlink>
    </w:p>
    <w:p w14:paraId="78C59C87" w14:textId="44A8C022" w:rsidR="0010378E" w:rsidRPr="0010378E" w:rsidRDefault="0010378E" w:rsidP="0010378E">
      <w:pPr>
        <w:pStyle w:val="Sadraj3"/>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34" w:history="1">
        <w:r w:rsidRPr="0010378E">
          <w:rPr>
            <w:rStyle w:val="Hiperveza"/>
            <w:noProof/>
            <w:sz w:val="20"/>
            <w:szCs w:val="20"/>
            <w:lang w:eastAsia="hr-HR"/>
          </w:rPr>
          <w:t>POGLAVLJE IV.   PROSTORNI PLANOVI PODRUČNE (REGIONALNE) RAZINE</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_Toc219166934 \h </w:instrText>
        </w:r>
        <w:r w:rsidRPr="0010378E">
          <w:rPr>
            <w:noProof/>
            <w:webHidden/>
            <w:sz w:val="20"/>
            <w:szCs w:val="20"/>
          </w:rPr>
        </w:r>
        <w:r w:rsidRPr="0010378E">
          <w:rPr>
            <w:noProof/>
            <w:webHidden/>
            <w:sz w:val="20"/>
            <w:szCs w:val="20"/>
          </w:rPr>
          <w:fldChar w:fldCharType="separate"/>
        </w:r>
        <w:r w:rsidRPr="0010378E">
          <w:rPr>
            <w:noProof/>
            <w:webHidden/>
            <w:sz w:val="20"/>
            <w:szCs w:val="20"/>
          </w:rPr>
          <w:t>32</w:t>
        </w:r>
        <w:r w:rsidRPr="0010378E">
          <w:rPr>
            <w:noProof/>
            <w:webHidden/>
            <w:sz w:val="20"/>
            <w:szCs w:val="20"/>
          </w:rPr>
          <w:fldChar w:fldCharType="end"/>
        </w:r>
      </w:hyperlink>
    </w:p>
    <w:p w14:paraId="5012D663" w14:textId="56990C6E" w:rsidR="0010378E" w:rsidRPr="0010378E" w:rsidRDefault="0010378E" w:rsidP="0010378E">
      <w:pPr>
        <w:pStyle w:val="Sadraj3"/>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35" w:history="1">
        <w:r w:rsidRPr="0010378E">
          <w:rPr>
            <w:rStyle w:val="Hiperveza"/>
            <w:noProof/>
            <w:sz w:val="20"/>
            <w:szCs w:val="20"/>
            <w:lang w:eastAsia="hr-HR"/>
          </w:rPr>
          <w:t>POGLAVLJE V.   PROSTORNI PLANOVI LOKALNE RAZINE</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_Toc219166935 \h </w:instrText>
        </w:r>
        <w:r w:rsidRPr="0010378E">
          <w:rPr>
            <w:noProof/>
            <w:webHidden/>
            <w:sz w:val="20"/>
            <w:szCs w:val="20"/>
          </w:rPr>
        </w:r>
        <w:r w:rsidRPr="0010378E">
          <w:rPr>
            <w:noProof/>
            <w:webHidden/>
            <w:sz w:val="20"/>
            <w:szCs w:val="20"/>
          </w:rPr>
          <w:fldChar w:fldCharType="separate"/>
        </w:r>
        <w:r w:rsidRPr="0010378E">
          <w:rPr>
            <w:noProof/>
            <w:webHidden/>
            <w:sz w:val="20"/>
            <w:szCs w:val="20"/>
          </w:rPr>
          <w:t>33</w:t>
        </w:r>
        <w:r w:rsidRPr="0010378E">
          <w:rPr>
            <w:noProof/>
            <w:webHidden/>
            <w:sz w:val="20"/>
            <w:szCs w:val="20"/>
          </w:rPr>
          <w:fldChar w:fldCharType="end"/>
        </w:r>
      </w:hyperlink>
    </w:p>
    <w:p w14:paraId="7DB76ACE" w14:textId="439C876C" w:rsidR="0010378E" w:rsidRPr="0010378E" w:rsidRDefault="0010378E" w:rsidP="0010378E">
      <w:pPr>
        <w:pStyle w:val="Sadraj3"/>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36" w:history="1">
        <w:r w:rsidRPr="0010378E">
          <w:rPr>
            <w:rStyle w:val="Hiperveza"/>
            <w:noProof/>
            <w:sz w:val="20"/>
            <w:szCs w:val="20"/>
            <w:lang w:eastAsia="hr-HR"/>
          </w:rPr>
          <w:t>POGLAVLJE VI.   POSTUPAK IZRADE I DONOŠENJA PROSTORNIH PLANOVA</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_Toc219166936 \h </w:instrText>
        </w:r>
        <w:r w:rsidRPr="0010378E">
          <w:rPr>
            <w:noProof/>
            <w:webHidden/>
            <w:sz w:val="20"/>
            <w:szCs w:val="20"/>
          </w:rPr>
        </w:r>
        <w:r w:rsidRPr="0010378E">
          <w:rPr>
            <w:noProof/>
            <w:webHidden/>
            <w:sz w:val="20"/>
            <w:szCs w:val="20"/>
          </w:rPr>
          <w:fldChar w:fldCharType="separate"/>
        </w:r>
        <w:r w:rsidRPr="0010378E">
          <w:rPr>
            <w:noProof/>
            <w:webHidden/>
            <w:sz w:val="20"/>
            <w:szCs w:val="20"/>
          </w:rPr>
          <w:t>36</w:t>
        </w:r>
        <w:r w:rsidRPr="0010378E">
          <w:rPr>
            <w:noProof/>
            <w:webHidden/>
            <w:sz w:val="20"/>
            <w:szCs w:val="20"/>
          </w:rPr>
          <w:fldChar w:fldCharType="end"/>
        </w:r>
      </w:hyperlink>
    </w:p>
    <w:p w14:paraId="00894EAF" w14:textId="2485776D" w:rsidR="0010378E" w:rsidRPr="0010378E" w:rsidRDefault="0010378E" w:rsidP="0010378E">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37" w:history="1">
        <w:r w:rsidRPr="0010378E">
          <w:rPr>
            <w:rStyle w:val="Hiperveza"/>
            <w:noProof/>
            <w:sz w:val="20"/>
            <w:szCs w:val="20"/>
            <w:lang w:eastAsia="hr-HR"/>
          </w:rPr>
          <w:t>DIO ŠESTI   URBANA KOMASACIJA</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_Toc219166937 \h </w:instrText>
        </w:r>
        <w:r w:rsidRPr="0010378E">
          <w:rPr>
            <w:noProof/>
            <w:webHidden/>
            <w:sz w:val="20"/>
            <w:szCs w:val="20"/>
          </w:rPr>
        </w:r>
        <w:r w:rsidRPr="0010378E">
          <w:rPr>
            <w:noProof/>
            <w:webHidden/>
            <w:sz w:val="20"/>
            <w:szCs w:val="20"/>
          </w:rPr>
          <w:fldChar w:fldCharType="separate"/>
        </w:r>
        <w:r w:rsidRPr="0010378E">
          <w:rPr>
            <w:noProof/>
            <w:webHidden/>
            <w:sz w:val="20"/>
            <w:szCs w:val="20"/>
          </w:rPr>
          <w:t>42</w:t>
        </w:r>
        <w:r w:rsidRPr="0010378E">
          <w:rPr>
            <w:noProof/>
            <w:webHidden/>
            <w:sz w:val="20"/>
            <w:szCs w:val="20"/>
          </w:rPr>
          <w:fldChar w:fldCharType="end"/>
        </w:r>
      </w:hyperlink>
    </w:p>
    <w:p w14:paraId="2E9C4E24" w14:textId="46F58C44" w:rsidR="0010378E" w:rsidRPr="0010378E" w:rsidRDefault="0010378E" w:rsidP="0010378E">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38" w:history="1">
        <w:r w:rsidRPr="0010378E">
          <w:rPr>
            <w:rStyle w:val="Hiperveza"/>
            <w:noProof/>
            <w:sz w:val="20"/>
            <w:szCs w:val="20"/>
            <w:lang w:eastAsia="hr-HR"/>
          </w:rPr>
          <w:t>DIO SEDMI   PROVEDBA ZAHVATA U PROSTORU</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_Toc219166938 \h </w:instrText>
        </w:r>
        <w:r w:rsidRPr="0010378E">
          <w:rPr>
            <w:noProof/>
            <w:webHidden/>
            <w:sz w:val="20"/>
            <w:szCs w:val="20"/>
          </w:rPr>
        </w:r>
        <w:r w:rsidRPr="0010378E">
          <w:rPr>
            <w:noProof/>
            <w:webHidden/>
            <w:sz w:val="20"/>
            <w:szCs w:val="20"/>
          </w:rPr>
          <w:fldChar w:fldCharType="separate"/>
        </w:r>
        <w:r w:rsidRPr="0010378E">
          <w:rPr>
            <w:noProof/>
            <w:webHidden/>
            <w:sz w:val="20"/>
            <w:szCs w:val="20"/>
          </w:rPr>
          <w:t>44</w:t>
        </w:r>
        <w:r w:rsidRPr="0010378E">
          <w:rPr>
            <w:noProof/>
            <w:webHidden/>
            <w:sz w:val="20"/>
            <w:szCs w:val="20"/>
          </w:rPr>
          <w:fldChar w:fldCharType="end"/>
        </w:r>
      </w:hyperlink>
    </w:p>
    <w:p w14:paraId="3D6E8842" w14:textId="524B46D9" w:rsidR="0010378E" w:rsidRPr="0010378E" w:rsidRDefault="0010378E" w:rsidP="0010378E">
      <w:pPr>
        <w:pStyle w:val="Sadraj2"/>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39" w:history="1">
        <w:r w:rsidRPr="0010378E">
          <w:rPr>
            <w:rStyle w:val="Hiperveza"/>
            <w:noProof/>
            <w:sz w:val="20"/>
            <w:szCs w:val="20"/>
            <w:lang w:eastAsia="hr-HR"/>
          </w:rPr>
          <w:t>GLAVA I.   ZAJEDNIČKE ODREDBE</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_Toc219166939 \h </w:instrText>
        </w:r>
        <w:r w:rsidRPr="0010378E">
          <w:rPr>
            <w:noProof/>
            <w:webHidden/>
            <w:sz w:val="20"/>
            <w:szCs w:val="20"/>
          </w:rPr>
        </w:r>
        <w:r w:rsidRPr="0010378E">
          <w:rPr>
            <w:noProof/>
            <w:webHidden/>
            <w:sz w:val="20"/>
            <w:szCs w:val="20"/>
          </w:rPr>
          <w:fldChar w:fldCharType="separate"/>
        </w:r>
        <w:r w:rsidRPr="0010378E">
          <w:rPr>
            <w:noProof/>
            <w:webHidden/>
            <w:sz w:val="20"/>
            <w:szCs w:val="20"/>
          </w:rPr>
          <w:t>44</w:t>
        </w:r>
        <w:r w:rsidRPr="0010378E">
          <w:rPr>
            <w:noProof/>
            <w:webHidden/>
            <w:sz w:val="20"/>
            <w:szCs w:val="20"/>
          </w:rPr>
          <w:fldChar w:fldCharType="end"/>
        </w:r>
      </w:hyperlink>
    </w:p>
    <w:p w14:paraId="546E0E66" w14:textId="1FED9934" w:rsidR="0010378E" w:rsidRPr="0010378E" w:rsidRDefault="0010378E" w:rsidP="0010378E">
      <w:pPr>
        <w:pStyle w:val="Sadraj2"/>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40" w:history="1">
        <w:r w:rsidRPr="0010378E">
          <w:rPr>
            <w:rStyle w:val="Hiperveza"/>
            <w:noProof/>
            <w:sz w:val="20"/>
            <w:szCs w:val="20"/>
            <w:lang w:eastAsia="hr-HR"/>
          </w:rPr>
          <w:t>GLAVA II.   URBANISTIČKI I INFRASTRUKTURNI PROJEKT</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_Toc219166940 \h </w:instrText>
        </w:r>
        <w:r w:rsidRPr="0010378E">
          <w:rPr>
            <w:noProof/>
            <w:webHidden/>
            <w:sz w:val="20"/>
            <w:szCs w:val="20"/>
          </w:rPr>
        </w:r>
        <w:r w:rsidRPr="0010378E">
          <w:rPr>
            <w:noProof/>
            <w:webHidden/>
            <w:sz w:val="20"/>
            <w:szCs w:val="20"/>
          </w:rPr>
          <w:fldChar w:fldCharType="separate"/>
        </w:r>
        <w:r w:rsidRPr="0010378E">
          <w:rPr>
            <w:noProof/>
            <w:webHidden/>
            <w:sz w:val="20"/>
            <w:szCs w:val="20"/>
          </w:rPr>
          <w:t>47</w:t>
        </w:r>
        <w:r w:rsidRPr="0010378E">
          <w:rPr>
            <w:noProof/>
            <w:webHidden/>
            <w:sz w:val="20"/>
            <w:szCs w:val="20"/>
          </w:rPr>
          <w:fldChar w:fldCharType="end"/>
        </w:r>
      </w:hyperlink>
    </w:p>
    <w:p w14:paraId="1D2B4D0D" w14:textId="1FC8630E" w:rsidR="0010378E" w:rsidRPr="0010378E" w:rsidRDefault="0010378E" w:rsidP="0010378E">
      <w:pPr>
        <w:pStyle w:val="Sadraj2"/>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41" w:history="1">
        <w:r w:rsidRPr="0010378E">
          <w:rPr>
            <w:rStyle w:val="Hiperveza"/>
            <w:noProof/>
            <w:sz w:val="20"/>
            <w:szCs w:val="20"/>
            <w:lang w:eastAsia="hr-HR"/>
          </w:rPr>
          <w:t>GLAVA III.   LOKACIJSKA DOZVOLA</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_Toc219166941 \h </w:instrText>
        </w:r>
        <w:r w:rsidRPr="0010378E">
          <w:rPr>
            <w:noProof/>
            <w:webHidden/>
            <w:sz w:val="20"/>
            <w:szCs w:val="20"/>
          </w:rPr>
        </w:r>
        <w:r w:rsidRPr="0010378E">
          <w:rPr>
            <w:noProof/>
            <w:webHidden/>
            <w:sz w:val="20"/>
            <w:szCs w:val="20"/>
          </w:rPr>
          <w:fldChar w:fldCharType="separate"/>
        </w:r>
        <w:r w:rsidRPr="0010378E">
          <w:rPr>
            <w:noProof/>
            <w:webHidden/>
            <w:sz w:val="20"/>
            <w:szCs w:val="20"/>
          </w:rPr>
          <w:t>48</w:t>
        </w:r>
        <w:r w:rsidRPr="0010378E">
          <w:rPr>
            <w:noProof/>
            <w:webHidden/>
            <w:sz w:val="20"/>
            <w:szCs w:val="20"/>
          </w:rPr>
          <w:fldChar w:fldCharType="end"/>
        </w:r>
      </w:hyperlink>
    </w:p>
    <w:p w14:paraId="2137B814" w14:textId="65736EC2" w:rsidR="0010378E" w:rsidRPr="0010378E" w:rsidRDefault="0010378E" w:rsidP="0010378E">
      <w:pPr>
        <w:pStyle w:val="Sadraj2"/>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42" w:history="1">
        <w:r w:rsidRPr="0010378E">
          <w:rPr>
            <w:rStyle w:val="Hiperveza"/>
            <w:noProof/>
            <w:sz w:val="20"/>
            <w:szCs w:val="20"/>
            <w:lang w:eastAsia="hr-HR"/>
          </w:rPr>
          <w:t>GLAVA IV.   DOZVOLA ZA UPORABU ZAHVATA U PROSTORU KOJI NISU GRAĐENJE</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_Toc219166942 \h </w:instrText>
        </w:r>
        <w:r w:rsidRPr="0010378E">
          <w:rPr>
            <w:noProof/>
            <w:webHidden/>
            <w:sz w:val="20"/>
            <w:szCs w:val="20"/>
          </w:rPr>
        </w:r>
        <w:r w:rsidRPr="0010378E">
          <w:rPr>
            <w:noProof/>
            <w:webHidden/>
            <w:sz w:val="20"/>
            <w:szCs w:val="20"/>
          </w:rPr>
          <w:fldChar w:fldCharType="separate"/>
        </w:r>
        <w:r w:rsidRPr="0010378E">
          <w:rPr>
            <w:noProof/>
            <w:webHidden/>
            <w:sz w:val="20"/>
            <w:szCs w:val="20"/>
          </w:rPr>
          <w:t>56</w:t>
        </w:r>
        <w:r w:rsidRPr="0010378E">
          <w:rPr>
            <w:noProof/>
            <w:webHidden/>
            <w:sz w:val="20"/>
            <w:szCs w:val="20"/>
          </w:rPr>
          <w:fldChar w:fldCharType="end"/>
        </w:r>
      </w:hyperlink>
    </w:p>
    <w:p w14:paraId="719D8E43" w14:textId="253003B8" w:rsidR="0010378E" w:rsidRPr="0010378E" w:rsidRDefault="0010378E" w:rsidP="0010378E">
      <w:pPr>
        <w:pStyle w:val="Sadraj2"/>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43" w:history="1">
        <w:r w:rsidRPr="0010378E">
          <w:rPr>
            <w:rStyle w:val="Hiperveza"/>
            <w:noProof/>
            <w:sz w:val="20"/>
            <w:szCs w:val="20"/>
            <w:lang w:eastAsia="hr-HR"/>
          </w:rPr>
          <w:t>GLAVA V.   DOZVOLA ZA PROMJENU NAMJENE I UPORABU GRAĐEVINE</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_Toc219166943 \h </w:instrText>
        </w:r>
        <w:r w:rsidRPr="0010378E">
          <w:rPr>
            <w:noProof/>
            <w:webHidden/>
            <w:sz w:val="20"/>
            <w:szCs w:val="20"/>
          </w:rPr>
        </w:r>
        <w:r w:rsidRPr="0010378E">
          <w:rPr>
            <w:noProof/>
            <w:webHidden/>
            <w:sz w:val="20"/>
            <w:szCs w:val="20"/>
          </w:rPr>
          <w:fldChar w:fldCharType="separate"/>
        </w:r>
        <w:r w:rsidRPr="0010378E">
          <w:rPr>
            <w:noProof/>
            <w:webHidden/>
            <w:sz w:val="20"/>
            <w:szCs w:val="20"/>
          </w:rPr>
          <w:t>57</w:t>
        </w:r>
        <w:r w:rsidRPr="0010378E">
          <w:rPr>
            <w:noProof/>
            <w:webHidden/>
            <w:sz w:val="20"/>
            <w:szCs w:val="20"/>
          </w:rPr>
          <w:fldChar w:fldCharType="end"/>
        </w:r>
      </w:hyperlink>
    </w:p>
    <w:p w14:paraId="4467869E" w14:textId="581B8106" w:rsidR="0010378E" w:rsidRPr="0010378E" w:rsidRDefault="0010378E" w:rsidP="0010378E">
      <w:pPr>
        <w:pStyle w:val="Sadraj2"/>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44" w:history="1">
        <w:r w:rsidRPr="0010378E">
          <w:rPr>
            <w:rStyle w:val="Hiperveza"/>
            <w:noProof/>
            <w:sz w:val="20"/>
            <w:szCs w:val="20"/>
            <w:lang w:eastAsia="hr-HR"/>
          </w:rPr>
          <w:t>GLAVA VI.   RJEŠENJE O UTVRĐIVANJU GRAĐEVNE ČESTICE I ZEMLJIŠTA NUŽNOG ZA REDOVITU UPORABU GRAĐEVINE</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_Toc219166944 \h </w:instrText>
        </w:r>
        <w:r w:rsidRPr="0010378E">
          <w:rPr>
            <w:noProof/>
            <w:webHidden/>
            <w:sz w:val="20"/>
            <w:szCs w:val="20"/>
          </w:rPr>
        </w:r>
        <w:r w:rsidRPr="0010378E">
          <w:rPr>
            <w:noProof/>
            <w:webHidden/>
            <w:sz w:val="20"/>
            <w:szCs w:val="20"/>
          </w:rPr>
          <w:fldChar w:fldCharType="separate"/>
        </w:r>
        <w:r w:rsidRPr="0010378E">
          <w:rPr>
            <w:noProof/>
            <w:webHidden/>
            <w:sz w:val="20"/>
            <w:szCs w:val="20"/>
          </w:rPr>
          <w:t>59</w:t>
        </w:r>
        <w:r w:rsidRPr="0010378E">
          <w:rPr>
            <w:noProof/>
            <w:webHidden/>
            <w:sz w:val="20"/>
            <w:szCs w:val="20"/>
          </w:rPr>
          <w:fldChar w:fldCharType="end"/>
        </w:r>
      </w:hyperlink>
    </w:p>
    <w:p w14:paraId="52A432FD" w14:textId="3791F5C3" w:rsidR="0010378E" w:rsidRPr="0010378E" w:rsidRDefault="0010378E" w:rsidP="0010378E">
      <w:pPr>
        <w:pStyle w:val="Sadraj2"/>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45" w:history="1">
        <w:r w:rsidRPr="0010378E">
          <w:rPr>
            <w:rStyle w:val="Hiperveza"/>
            <w:noProof/>
            <w:sz w:val="20"/>
            <w:szCs w:val="20"/>
            <w:lang w:eastAsia="hr-HR"/>
          </w:rPr>
          <w:t>GLAVA VII.   PARCELACIJA GRAĐEVINSKOG ZEMLJIŠTA</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_Toc219166945 \h </w:instrText>
        </w:r>
        <w:r w:rsidRPr="0010378E">
          <w:rPr>
            <w:noProof/>
            <w:webHidden/>
            <w:sz w:val="20"/>
            <w:szCs w:val="20"/>
          </w:rPr>
        </w:r>
        <w:r w:rsidRPr="0010378E">
          <w:rPr>
            <w:noProof/>
            <w:webHidden/>
            <w:sz w:val="20"/>
            <w:szCs w:val="20"/>
          </w:rPr>
          <w:fldChar w:fldCharType="separate"/>
        </w:r>
        <w:r w:rsidRPr="0010378E">
          <w:rPr>
            <w:noProof/>
            <w:webHidden/>
            <w:sz w:val="20"/>
            <w:szCs w:val="20"/>
          </w:rPr>
          <w:t>60</w:t>
        </w:r>
        <w:r w:rsidRPr="0010378E">
          <w:rPr>
            <w:noProof/>
            <w:webHidden/>
            <w:sz w:val="20"/>
            <w:szCs w:val="20"/>
          </w:rPr>
          <w:fldChar w:fldCharType="end"/>
        </w:r>
      </w:hyperlink>
    </w:p>
    <w:p w14:paraId="0044FAB7" w14:textId="63992E48" w:rsidR="0010378E" w:rsidRPr="0010378E" w:rsidRDefault="0010378E" w:rsidP="0010378E">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46" w:history="1">
        <w:r w:rsidRPr="0010378E">
          <w:rPr>
            <w:rStyle w:val="Hiperveza"/>
            <w:noProof/>
            <w:sz w:val="20"/>
            <w:szCs w:val="20"/>
            <w:lang w:eastAsia="hr-HR"/>
          </w:rPr>
          <w:t>DIO OSMI   UREĐENJE GRAĐEVINSKOG ZEMLJIŠTA</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_Toc219166946 \h </w:instrText>
        </w:r>
        <w:r w:rsidRPr="0010378E">
          <w:rPr>
            <w:noProof/>
            <w:webHidden/>
            <w:sz w:val="20"/>
            <w:szCs w:val="20"/>
          </w:rPr>
        </w:r>
        <w:r w:rsidRPr="0010378E">
          <w:rPr>
            <w:noProof/>
            <w:webHidden/>
            <w:sz w:val="20"/>
            <w:szCs w:val="20"/>
          </w:rPr>
          <w:fldChar w:fldCharType="separate"/>
        </w:r>
        <w:r w:rsidRPr="0010378E">
          <w:rPr>
            <w:noProof/>
            <w:webHidden/>
            <w:sz w:val="20"/>
            <w:szCs w:val="20"/>
          </w:rPr>
          <w:t>61</w:t>
        </w:r>
        <w:r w:rsidRPr="0010378E">
          <w:rPr>
            <w:noProof/>
            <w:webHidden/>
            <w:sz w:val="20"/>
            <w:szCs w:val="20"/>
          </w:rPr>
          <w:fldChar w:fldCharType="end"/>
        </w:r>
      </w:hyperlink>
    </w:p>
    <w:p w14:paraId="7152FA0C" w14:textId="14723811" w:rsidR="0010378E" w:rsidRPr="0010378E" w:rsidRDefault="0010378E" w:rsidP="0010378E">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47" w:history="1">
        <w:r w:rsidRPr="0010378E">
          <w:rPr>
            <w:rStyle w:val="Hiperveza"/>
            <w:noProof/>
            <w:sz w:val="20"/>
            <w:szCs w:val="20"/>
            <w:lang w:eastAsia="hr-HR"/>
          </w:rPr>
          <w:t>DIO DEVETI   IMOVINSKI INSTITUTI UREĐENJA GRAĐEVINSKOG ZEMLJIŠTA</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_Toc219166947 \h </w:instrText>
        </w:r>
        <w:r w:rsidRPr="0010378E">
          <w:rPr>
            <w:noProof/>
            <w:webHidden/>
            <w:sz w:val="20"/>
            <w:szCs w:val="20"/>
          </w:rPr>
        </w:r>
        <w:r w:rsidRPr="0010378E">
          <w:rPr>
            <w:noProof/>
            <w:webHidden/>
            <w:sz w:val="20"/>
            <w:szCs w:val="20"/>
          </w:rPr>
          <w:fldChar w:fldCharType="separate"/>
        </w:r>
        <w:r w:rsidRPr="0010378E">
          <w:rPr>
            <w:noProof/>
            <w:webHidden/>
            <w:sz w:val="20"/>
            <w:szCs w:val="20"/>
          </w:rPr>
          <w:t>62</w:t>
        </w:r>
        <w:r w:rsidRPr="0010378E">
          <w:rPr>
            <w:noProof/>
            <w:webHidden/>
            <w:sz w:val="20"/>
            <w:szCs w:val="20"/>
          </w:rPr>
          <w:fldChar w:fldCharType="end"/>
        </w:r>
      </w:hyperlink>
    </w:p>
    <w:p w14:paraId="174F87B6" w14:textId="5C5A6FFA" w:rsidR="0010378E" w:rsidRPr="0010378E" w:rsidRDefault="0010378E" w:rsidP="0010378E">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48" w:history="1">
        <w:r w:rsidRPr="0010378E">
          <w:rPr>
            <w:rStyle w:val="Hiperveza"/>
            <w:noProof/>
            <w:sz w:val="20"/>
            <w:szCs w:val="20"/>
            <w:lang w:eastAsia="hr-HR"/>
          </w:rPr>
          <w:t>DIO DESETI   NADZOR</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_Toc219166948 \h </w:instrText>
        </w:r>
        <w:r w:rsidRPr="0010378E">
          <w:rPr>
            <w:noProof/>
            <w:webHidden/>
            <w:sz w:val="20"/>
            <w:szCs w:val="20"/>
          </w:rPr>
        </w:r>
        <w:r w:rsidRPr="0010378E">
          <w:rPr>
            <w:noProof/>
            <w:webHidden/>
            <w:sz w:val="20"/>
            <w:szCs w:val="20"/>
          </w:rPr>
          <w:fldChar w:fldCharType="separate"/>
        </w:r>
        <w:r w:rsidRPr="0010378E">
          <w:rPr>
            <w:noProof/>
            <w:webHidden/>
            <w:sz w:val="20"/>
            <w:szCs w:val="20"/>
          </w:rPr>
          <w:t>65</w:t>
        </w:r>
        <w:r w:rsidRPr="0010378E">
          <w:rPr>
            <w:noProof/>
            <w:webHidden/>
            <w:sz w:val="20"/>
            <w:szCs w:val="20"/>
          </w:rPr>
          <w:fldChar w:fldCharType="end"/>
        </w:r>
      </w:hyperlink>
    </w:p>
    <w:p w14:paraId="611621D0" w14:textId="0D60CF23" w:rsidR="0010378E" w:rsidRPr="0010378E" w:rsidRDefault="0010378E" w:rsidP="0010378E">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49" w:history="1">
        <w:r w:rsidRPr="0010378E">
          <w:rPr>
            <w:rStyle w:val="Hiperveza"/>
            <w:noProof/>
            <w:sz w:val="20"/>
            <w:szCs w:val="20"/>
            <w:lang w:eastAsia="hr-HR"/>
          </w:rPr>
          <w:t>DIO JEDANAESTI   PREKRŠAJNE ODREDBE</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_Toc219166949 \h </w:instrText>
        </w:r>
        <w:r w:rsidRPr="0010378E">
          <w:rPr>
            <w:noProof/>
            <w:webHidden/>
            <w:sz w:val="20"/>
            <w:szCs w:val="20"/>
          </w:rPr>
        </w:r>
        <w:r w:rsidRPr="0010378E">
          <w:rPr>
            <w:noProof/>
            <w:webHidden/>
            <w:sz w:val="20"/>
            <w:szCs w:val="20"/>
          </w:rPr>
          <w:fldChar w:fldCharType="separate"/>
        </w:r>
        <w:r w:rsidRPr="0010378E">
          <w:rPr>
            <w:noProof/>
            <w:webHidden/>
            <w:sz w:val="20"/>
            <w:szCs w:val="20"/>
          </w:rPr>
          <w:t>66</w:t>
        </w:r>
        <w:r w:rsidRPr="0010378E">
          <w:rPr>
            <w:noProof/>
            <w:webHidden/>
            <w:sz w:val="20"/>
            <w:szCs w:val="20"/>
          </w:rPr>
          <w:fldChar w:fldCharType="end"/>
        </w:r>
      </w:hyperlink>
    </w:p>
    <w:p w14:paraId="291C1A75" w14:textId="06C4CA2E" w:rsidR="0010378E" w:rsidRPr="0010378E" w:rsidRDefault="0010378E" w:rsidP="0010378E">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66950" w:history="1">
        <w:r w:rsidRPr="0010378E">
          <w:rPr>
            <w:rStyle w:val="Hiperveza"/>
            <w:noProof/>
            <w:sz w:val="20"/>
            <w:szCs w:val="20"/>
            <w:lang w:eastAsia="hr-HR"/>
          </w:rPr>
          <w:t>DIO DVANAESTI   PRIJELAZNE I ZAVRŠNE ODREDBE</w:t>
        </w:r>
        <w:r w:rsidRPr="0010378E">
          <w:rPr>
            <w:noProof/>
            <w:webHidden/>
            <w:sz w:val="20"/>
            <w:szCs w:val="20"/>
          </w:rPr>
          <w:tab/>
        </w:r>
        <w:r w:rsidRPr="0010378E">
          <w:rPr>
            <w:noProof/>
            <w:webHidden/>
            <w:sz w:val="20"/>
            <w:szCs w:val="20"/>
          </w:rPr>
          <w:fldChar w:fldCharType="begin"/>
        </w:r>
        <w:r w:rsidRPr="0010378E">
          <w:rPr>
            <w:noProof/>
            <w:webHidden/>
            <w:sz w:val="20"/>
            <w:szCs w:val="20"/>
          </w:rPr>
          <w:instrText xml:space="preserve"> PAGEREF _Toc219166950 \h </w:instrText>
        </w:r>
        <w:r w:rsidRPr="0010378E">
          <w:rPr>
            <w:noProof/>
            <w:webHidden/>
            <w:sz w:val="20"/>
            <w:szCs w:val="20"/>
          </w:rPr>
        </w:r>
        <w:r w:rsidRPr="0010378E">
          <w:rPr>
            <w:noProof/>
            <w:webHidden/>
            <w:sz w:val="20"/>
            <w:szCs w:val="20"/>
          </w:rPr>
          <w:fldChar w:fldCharType="separate"/>
        </w:r>
        <w:r w:rsidRPr="0010378E">
          <w:rPr>
            <w:noProof/>
            <w:webHidden/>
            <w:sz w:val="20"/>
            <w:szCs w:val="20"/>
          </w:rPr>
          <w:t>67</w:t>
        </w:r>
        <w:r w:rsidRPr="0010378E">
          <w:rPr>
            <w:noProof/>
            <w:webHidden/>
            <w:sz w:val="20"/>
            <w:szCs w:val="20"/>
          </w:rPr>
          <w:fldChar w:fldCharType="end"/>
        </w:r>
      </w:hyperlink>
    </w:p>
    <w:p w14:paraId="50F36244" w14:textId="362FB194" w:rsidR="0010378E" w:rsidRDefault="0010378E" w:rsidP="0010378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10378E">
        <w:rPr>
          <w:rFonts w:ascii="Times New Roman" w:eastAsia="Times New Roman" w:hAnsi="Times New Roman"/>
          <w:color w:val="231F20"/>
          <w:sz w:val="20"/>
          <w:szCs w:val="20"/>
          <w:lang w:eastAsia="hr-HR"/>
        </w:rPr>
        <w:fldChar w:fldCharType="end"/>
      </w:r>
    </w:p>
    <w:p w14:paraId="57032418" w14:textId="2E8C8E5A" w:rsidR="007E17BF" w:rsidRDefault="007E17BF">
      <w:pPr>
        <w:spacing w:after="0" w:line="240" w:lineRule="auto"/>
        <w:rPr>
          <w:rFonts w:ascii="Times New Roman" w:eastAsia="Times New Roman" w:hAnsi="Times New Roman"/>
          <w:color w:val="231F20"/>
          <w:sz w:val="20"/>
          <w:szCs w:val="20"/>
          <w:lang w:eastAsia="hr-HR"/>
        </w:rPr>
      </w:pPr>
      <w:r>
        <w:rPr>
          <w:rFonts w:ascii="Times New Roman" w:eastAsia="Times New Roman" w:hAnsi="Times New Roman"/>
          <w:color w:val="231F20"/>
          <w:sz w:val="20"/>
          <w:szCs w:val="20"/>
          <w:lang w:eastAsia="hr-HR"/>
        </w:rPr>
        <w:br w:type="page"/>
      </w:r>
    </w:p>
    <w:p w14:paraId="613DE02B" w14:textId="77777777" w:rsid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45CE7B0C" w14:textId="77777777" w:rsid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222349C0" w14:textId="77777777" w:rsid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261FBA2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b/>
          <w:bCs/>
          <w:color w:val="231F20"/>
          <w:sz w:val="32"/>
          <w:szCs w:val="32"/>
          <w:lang w:eastAsia="hr-HR"/>
        </w:rPr>
      </w:pPr>
      <w:r w:rsidRPr="007E17BF">
        <w:rPr>
          <w:rFonts w:ascii="Times New Roman" w:eastAsia="Times New Roman" w:hAnsi="Times New Roman"/>
          <w:b/>
          <w:bCs/>
          <w:color w:val="231F20"/>
          <w:sz w:val="32"/>
          <w:szCs w:val="32"/>
          <w:lang w:eastAsia="hr-HR"/>
        </w:rPr>
        <w:t>ZAKON O PROSTORNOM UREĐENJU</w:t>
      </w:r>
    </w:p>
    <w:p w14:paraId="776752AE" w14:textId="77777777" w:rsid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7B487790" w14:textId="77777777" w:rsid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36AA4392" w14:textId="5602B9BC" w:rsidR="007E17BF" w:rsidRPr="007E17BF" w:rsidRDefault="007E17BF" w:rsidP="007E17BF">
      <w:pPr>
        <w:pStyle w:val="Naslov3"/>
        <w:rPr>
          <w:lang w:eastAsia="hr-HR"/>
        </w:rPr>
      </w:pPr>
      <w:bookmarkStart w:id="0" w:name="_Toc219166917"/>
      <w:r w:rsidRPr="007E17BF">
        <w:rPr>
          <w:lang w:eastAsia="hr-HR"/>
        </w:rPr>
        <w:t>DIO PRVI</w:t>
      </w:r>
      <w:r>
        <w:rPr>
          <w:lang w:eastAsia="hr-HR"/>
        </w:rPr>
        <w:t xml:space="preserve">   </w:t>
      </w:r>
      <w:r w:rsidRPr="007E17BF">
        <w:rPr>
          <w:lang w:eastAsia="hr-HR"/>
        </w:rPr>
        <w:t>OSNOVNE ODREDBE</w:t>
      </w:r>
      <w:bookmarkEnd w:id="0"/>
    </w:p>
    <w:p w14:paraId="3CEF07C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Predmet uređenja Zakona</w:t>
      </w:r>
    </w:p>
    <w:p w14:paraId="3909A7D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w:t>
      </w:r>
    </w:p>
    <w:p w14:paraId="4279DC4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Ovim se Zakonom uređuje sustav prostornog uređenja: ciljevi, načela i subjekti prostornog uređenja, praćenje stanja u prostoru i području prostornog uređenja, uvjeti planiranja prostora, donošenje Strategije prostornog razvoja Republike Hrvatske, prostorni planovi, uključujući njihovu izradu i postupak donošenja, provedba prostornih planova, uređenje građevinskog zemljišta, imovinski instituti uređenja građevinskog zemljišta te nadzor nad provedbom ovoga Zakona.</w:t>
      </w:r>
    </w:p>
    <w:p w14:paraId="5805119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Usklađivanje propisa s pravnim poretkom Europske unije</w:t>
      </w:r>
    </w:p>
    <w:p w14:paraId="5581DB9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w:t>
      </w:r>
    </w:p>
    <w:p w14:paraId="71D175E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Ovim se Zakonom u pravni poredak Republike Hrvatske preuzimaju sljedeće direktive Europske unije:</w:t>
      </w:r>
    </w:p>
    <w:p w14:paraId="0BA6425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Direktiva 2014/89/EU Europskog parlamenta i Vijeća od 23. srpnja 2014. o uspostavi okvira za prostorno planiranje morskog područja (SL L 257, 28. 8. 2014.)</w:t>
      </w:r>
    </w:p>
    <w:p w14:paraId="044CE36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Direktiva 2012/18/EU Europskog parlamenta i Vijeća od 4. srpnja 2012. o kontroli opasnosti od velikih nesreća koje uključuju opasne tvari, o izmjeni i kasnijem stavljanju izvan snage Direktive Vijeća 96/82/EZ (Tekst značajan za EGP) (SL L 197, 24. 7. 2012.)</w:t>
      </w:r>
    </w:p>
    <w:p w14:paraId="14BC6BF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Direktiva 2001/42/EZ Europskog parlamenta i Vijeća od 27. lipnja 2001. o procjeni učinka određenih planova i programa na okoliš (SL L 197/30, 27. 6. 2001.)</w:t>
      </w:r>
    </w:p>
    <w:p w14:paraId="1B86A72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Direktiva 2011/92/EU Europskog parlamenta i Vijeća od 13. prosinca 2011. o procjeni učinaka određenih javnih i privatnih projekata na okoliš (kodifikacija) (Tekst značajan za EGP) (SL L 26, 28. 1. 2012) kako je posljednji put izmijenjena Direktivom 2014/52/EU Europskog parlamenta i Vijeća od 16. travnja 2014. o izmjeni Direktive 2011/92/EU o procjeni utjecaja određenih javnih i privatnih projekata na okoliš (tekst značajan za EGP) (SL L 124, 25. 4. 2014.).</w:t>
      </w:r>
    </w:p>
    <w:p w14:paraId="17C6E3B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Primjena posebnih propisa</w:t>
      </w:r>
    </w:p>
    <w:p w14:paraId="441A18C7"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3.</w:t>
      </w:r>
    </w:p>
    <w:p w14:paraId="3835607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Na pitanja prava na pristup informacijama i podacima u postupcima koja nisu uređena ovim Zakonom primjenjuju se odredbe propisa kojim se uređuje pravo na pristup informacijama.</w:t>
      </w:r>
    </w:p>
    <w:p w14:paraId="72C2645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Na pitanja vezano za županijske zavode odnosno zavod Grada Zagreba za prostorno uređenje te za gradske zavode za prostorno uređenje ako ih grad osnuje, koja nisu uređena ovim Zakonom, primjenjuju se odredbe propisa o ustanovama.</w:t>
      </w:r>
    </w:p>
    <w:p w14:paraId="269100E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Odredbe posebnih zakona i propisa donesenih na temelju tih zakona primjenjuju se u provedbi ovoga Zakona i propisa donesenih na temelju ovoga Zakona, ako ovim Zakonom nije propisano drukčije.</w:t>
      </w:r>
    </w:p>
    <w:p w14:paraId="23DD6655"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Donošenje posebnih propisa</w:t>
      </w:r>
    </w:p>
    <w:p w14:paraId="7FAB835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4.</w:t>
      </w:r>
    </w:p>
    <w:p w14:paraId="71DBD21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Pravilnici i tehnički propisi, čije je donošenje propisano posebnim zakonima, a koji utječu na propisivanje uvjeta gradnje građevina i provedbu drugih zahvata u prostoru ili određivanje lokacijskih uvjeta, donose se uz prethodnu suglasnost ministra nadležnog za poslove prostornog uređenja (u daljnjem tekstu: ministar).</w:t>
      </w:r>
    </w:p>
    <w:p w14:paraId="1916A81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Pravilnici i tehnički propisi doneseni protivno stavku 1. ovoga članka ne primjenjuju se u provedbi ovoga Zakona.</w:t>
      </w:r>
    </w:p>
    <w:p w14:paraId="153AA8E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Ovlaštenja u Ministarstvu</w:t>
      </w:r>
    </w:p>
    <w:p w14:paraId="066EBB7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5.</w:t>
      </w:r>
    </w:p>
    <w:p w14:paraId="611B001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Način rada u ministarstvu nadležnom za poslove prostornog uređenja (u daljnjem tekstu: Ministarstvo), upravnim tijelima, stručnim upravnim tijelima i drugim javnopravnim tijelima, u vezi s provedbom ovoga Zakona, uključujući i sustav provedbe postupaka i izrade akata koji se donose na temelju ovoga Zakona, ministar propisuje naputkom.</w:t>
      </w:r>
    </w:p>
    <w:p w14:paraId="63DEC10D" w14:textId="77777777" w:rsid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Službenici Ministarstva koji obavljaju poslove vezane za izradu i provedbu prostornih planova, uređenje građevinskog zemljišta, nadzor i druge poslove u provedbi ovoga Zakona i posebnog zakona kojim se uređuje gradnja, svoje svojstvo, identitet i ovlasti dokazuju službenom iskaznicom s fotografijom u skladu sa zakonom kojim se uređuje izdavanje i uporaba službene iskaznice u državnim tijelima.</w:t>
      </w:r>
    </w:p>
    <w:p w14:paraId="7E980E8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73A0FBF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Arhitektonske politike</w:t>
      </w:r>
    </w:p>
    <w:p w14:paraId="01F02B2D"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6.</w:t>
      </w:r>
    </w:p>
    <w:p w14:paraId="75B5000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Arhitektonske politike Republike Hrvatske dio su opće politike Republike Hrvatske, odraz su strateških načela kojima se usmjerava razvoj, oblikovanje i upravljanje prostorom radi osiguravanja kvalitete arhitekture, odnosno vrsnoće gradnje kao javnog interesa.</w:t>
      </w:r>
    </w:p>
    <w:p w14:paraId="3BCF5D4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Odluku o donošenju Arhitektonskih politika Republike Hrvatske donosi Vlada Republike Hrvatske (u daljnjem tekstu: Vlada), uz prethodno mišljenje Akademije arhitektonske umjetnosti i znanosti Hrvatske.</w:t>
      </w:r>
    </w:p>
    <w:p w14:paraId="1D3AF91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Koordinacija izrade i praćenja provedbe dokumenta u nadležnosti je Zavoda za prostorni razvoj i Hrvatske komore arhitekata.</w:t>
      </w:r>
    </w:p>
    <w:p w14:paraId="7A73927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Svakih sedam godina izvršit će se revizija dokumenta te ocijeniti potreba njegove izmjene i dopune ili izrade dokumenta sljedeće generacije.</w:t>
      </w:r>
    </w:p>
    <w:p w14:paraId="3EC6E3A1"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Ciljevi prostornog uređenja</w:t>
      </w:r>
    </w:p>
    <w:p w14:paraId="6F176FD4"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7.</w:t>
      </w:r>
    </w:p>
    <w:p w14:paraId="7129F7C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Prostornim uređenjem osiguravaju se uvjeti za održivo korištenje, gospodarenje, zaštitu i upravljanje prostorom Republike Hrvatske te isključivim gospodarskim pojasom Republike Hrvatske kao osobito vrijednim i ograničenim nacionalnim dobrom, te se time ostvaruju pretpostavke za društveni i gospodarski razvoj, zaštitu okoliša i prirode, očuvanje i zaštitu kulturne baštine, poticanjem vrsnoće gradnje i racionalnog korištenja prirodnih dobara.</w:t>
      </w:r>
    </w:p>
    <w:p w14:paraId="7213462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Ciljevi prostornog uređenja su:</w:t>
      </w:r>
    </w:p>
    <w:p w14:paraId="68778E0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zaštita i očuvanje prostora kao ograničenog prirodnog dobra od nacionalnog interesa uz ravnomjeran prostorni razvoj usklađen s gospodarskim, društvenim i okolišnim polazištima</w:t>
      </w:r>
    </w:p>
    <w:p w14:paraId="4D8F809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prostorna održivost u odnosu na racionalno korištenje i očuvanje kapaciteta prostora na kopnu, moru i u podmorju u svrhu učinkovite zaštite prostora, te racionalno i ujednačeno infrastrukturno opremanje prostora</w:t>
      </w:r>
    </w:p>
    <w:p w14:paraId="15463FD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povezivanje sustava prostornog uređenja teritorija Republike Hrvatske s europskim sustavima prostornog uređenja</w:t>
      </w:r>
    </w:p>
    <w:p w14:paraId="430ABF3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povećanje otpornosti prostora na promjene uvjetovane suvremenim izazovima (prirodne katastrofe, klimatske promjene, kemijske i biološke prijetnje, katastrofe uvjetovane ljudskim djelovanjem i dr.)</w:t>
      </w:r>
    </w:p>
    <w:p w14:paraId="0E55903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njegovanje i razvijanje regionalnih prostornih osobitosti</w:t>
      </w:r>
    </w:p>
    <w:p w14:paraId="038A90E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međusobno usklađen i dopunjujući razmještaj različitih ljudskih djelatnosti i aktivnosti u prostoru radi funkcionalnog i skladnog razvoja zajednice uz zaštitu integralnih vrijednosti prostora</w:t>
      </w:r>
    </w:p>
    <w:p w14:paraId="75E4EE1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razumno korištenje i zaštita prirodnih dobara, očuvanje prirode, zaštita okoliša i prevencija od rizika onečišćenja</w:t>
      </w:r>
    </w:p>
    <w:p w14:paraId="6A8EC6D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8. zaštita kulturnih dobara i vrijednosti</w:t>
      </w:r>
    </w:p>
    <w:p w14:paraId="026F01E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9. dobro organizirana raspodjela i uređenje građevinskog zemljišta</w:t>
      </w:r>
    </w:p>
    <w:p w14:paraId="77A8753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10. planiranje, upravljanje i zaštita krajobraza kao integralnog prostornog koncepta</w:t>
      </w:r>
    </w:p>
    <w:p w14:paraId="14A5ED0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11. kvalitetan i human razvoj gradskih i ruralnih naselja, razvoj zelene infrastrukture te siguran, zdrav, društveno funkcionalan životni i radni okoliš</w:t>
      </w:r>
    </w:p>
    <w:p w14:paraId="3C83879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12. cjelovitost vrijednih obalnih ekosustava i kakvoća mora te unutarnjih voda za kupanje i rekreaciju</w:t>
      </w:r>
    </w:p>
    <w:p w14:paraId="1CF5F92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13. odgovarajući prometni sustav i održiva urbana mobilnost</w:t>
      </w:r>
    </w:p>
    <w:p w14:paraId="2364680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14. opskrba, funkcionalna pristupačnost i uporaba usluga i građevina za potrebe različitih skupina stanovništva, osobito djece, starijih ljudi i osoba smanjenih sposobnosti i pokretljivosti</w:t>
      </w:r>
    </w:p>
    <w:p w14:paraId="5DF8592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15. kvaliteta, kultura i ljepota prostornog i arhitektonskog oblikovanja</w:t>
      </w:r>
    </w:p>
    <w:p w14:paraId="1B80B08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16. stvaranje visokovrijednog izgrađenog prostora s uvažavanjem specifičnosti pojedinih cjelina te razvijanjem zelene infrastrukture uz poštivanje prirodnog i urbanog krajobraza i kulturnog nasljeđa, a posebice uređenja ugostiteljsko-turističkih područja na obalnom i kopnenom području uz zaštitu užeg obalnog pojasa od građenja</w:t>
      </w:r>
    </w:p>
    <w:p w14:paraId="33017EA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17. prostorni uvjeti za razvoj gospodarstva</w:t>
      </w:r>
    </w:p>
    <w:p w14:paraId="5B64319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18. nacionalna sigurnost i obrana Republike Hrvatske te zaštita od prirodnih i drugih nesreća.</w:t>
      </w:r>
    </w:p>
    <w:p w14:paraId="2DD064A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Ciljevi prostornog uređenja postižu se primjenom načela prostornog uređenja u izradi i donošenju prostornih planova temeljenih na stručnim rješenjima svakog pojedinog područja struke te njihovoj provedbi.</w:t>
      </w:r>
    </w:p>
    <w:p w14:paraId="2EB1FD8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Opća načela prostornog uređenja</w:t>
      </w:r>
    </w:p>
    <w:p w14:paraId="7D574FD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8.</w:t>
      </w:r>
    </w:p>
    <w:p w14:paraId="199E253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Prostorno uređenje temelji se na načelima:</w:t>
      </w:r>
    </w:p>
    <w:p w14:paraId="6305DD6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integralnog pristupa u prostornom planiranju</w:t>
      </w:r>
    </w:p>
    <w:p w14:paraId="730AD9D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uvažavanja znanstvenih i stručnih činjenica</w:t>
      </w:r>
    </w:p>
    <w:p w14:paraId="02549DE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prostorne održivosti razvitka i vrsnoće gradnje</w:t>
      </w:r>
    </w:p>
    <w:p w14:paraId="033B27D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očuvanja prostora i obnove prirode</w:t>
      </w:r>
    </w:p>
    <w:p w14:paraId="0F7483C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ostvarivanja i zaštite javnog i pojedinačnog interesa</w:t>
      </w:r>
    </w:p>
    <w:p w14:paraId="03EF5E6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6. horizontalne integracije u zaštiti prostora</w:t>
      </w:r>
    </w:p>
    <w:p w14:paraId="11043DD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vertikalne integracije</w:t>
      </w:r>
    </w:p>
    <w:p w14:paraId="6AC64FB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8. sudjelovanja javnosti u prostornom uređenju</w:t>
      </w:r>
    </w:p>
    <w:p w14:paraId="54EE41D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9. ekonomičnosti</w:t>
      </w:r>
    </w:p>
    <w:p w14:paraId="5360119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10. dinamičkog planiranja.</w:t>
      </w:r>
    </w:p>
    <w:p w14:paraId="278FDB2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Načelo integralnog pristupa u prostornom planiranju</w:t>
      </w:r>
    </w:p>
    <w:p w14:paraId="54D7F07D"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9.</w:t>
      </w:r>
    </w:p>
    <w:p w14:paraId="7B31CC8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Prostorno planiranje gradova i naselja, gospodarskih, infrastrukturnih, javnih, društvenih, kulturnih, prirodnih, okolišnih i drugih relevantnih područja temelji se na sveobuhvatnom sagledavanju korištenja i zaštite prostora. Prostornim planovima koji se donose na temelju ovoga Zakona planira se provedba svih zahvata u prostoru s obzirom na interakciju kopna i morskog odnosno vodnog područja te osobitosti drugih prostora i poštivanje načela integralnog upravljanja obalnim područjem.</w:t>
      </w:r>
    </w:p>
    <w:p w14:paraId="407FCD6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Prostorno planiranje je stalni proces zaštite i razvoja prostora koji se odvija kroz izradu i donošenje prostornih planova te praćenje njihove provedbe, kao i praćenje stanja u prostoru, a uključuje sustavno prikupljanje i analizu podataka, prometno-sigurnosne analize i analize protočnosti i propusnosti prometa, poznavanje, provjeru i procjenu mogućnosti korištenja prostora, uz uvažavanje ograničenja i zabrana korištenja gdje je to određeno posebnim propisima.</w:t>
      </w:r>
    </w:p>
    <w:p w14:paraId="01F6CB9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Načelo uvažavanja znanstvenih i stručnih činjenica</w:t>
      </w:r>
    </w:p>
    <w:p w14:paraId="73ED596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10.</w:t>
      </w:r>
    </w:p>
    <w:p w14:paraId="738B1CA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Analiza i procjena mogućnosti korištenja i razvoja prostora te odabir planskih rješenja u izradi, donošenju i provedbi prostornih planova temelji se na primjeni suvremenih znanstvenih i stručnih postignuća te normi i standarda uz uvažavanje odnosno davanje prednosti:</w:t>
      </w:r>
    </w:p>
    <w:p w14:paraId="3AD6526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gospodarskom razvoju</w:t>
      </w:r>
    </w:p>
    <w:p w14:paraId="4B236A3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prilagodbi planskih rješenja značajkama prostora i njegovanju regionalnih osobitosti područja</w:t>
      </w:r>
    </w:p>
    <w:p w14:paraId="28AEC06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očuvanju cjelovitosti i kvalitativnih značajki prostora, racionalnom i štedljivom korištenju prostora za izgradnju uz utvrđivanje prihvatljivog opterećenja prostora</w:t>
      </w:r>
    </w:p>
    <w:p w14:paraId="53183C5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korištenju, obnovi i rekonstrukciji izgrađenog pred neizgrađenim prostorom te korištenju i modernizaciji postojećih kapaciteta za djelatnosti u prostoru</w:t>
      </w:r>
    </w:p>
    <w:p w14:paraId="63D0627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isključivanju, odnosno smanjenju na prihvatljivu mjeru štetnog utjecaja na okoliš, prirodu, zdravlje ljudi i sigurnost sudionika u prometu te na korisnike prostora prilikom planiranja i provedbe zahvata u prostoru</w:t>
      </w:r>
    </w:p>
    <w:p w14:paraId="4C5DA52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energetskoj učinkovitosti planskih rješenja, s naglaskom na svrhovito i održivo korištenje obnovljivih izvora energije.</w:t>
      </w:r>
    </w:p>
    <w:p w14:paraId="3F94A42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Stručna rješenja iz prostornih planova moraju se temeljiti na stručnim standardima, nalazima i analizama svojstava i mogućnostima prostora. Pri njihovoj izradi potrebno je osigurati interdisciplinarnost stručnjaka iz stručnog područja koje se obrađuje prostornim planom.</w:t>
      </w:r>
    </w:p>
    <w:p w14:paraId="446B2D3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Pri analizi i procjeni mogućnosti korištenja i razvoja prostora trebaju se uvažiti odgovarajući rizici utvrđeni procjenom rizika od katastrofa za Republiku Hrvatsku koji prikazuju opasnost u kombinaciji s ranjivosti prostora i društva, kako bi se odredila ograničenja i zabrana gradnje te mjere za smanjenje neprihvatljivih rizika.</w:t>
      </w:r>
    </w:p>
    <w:p w14:paraId="5EB33D4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Pri izradi prostornih planova koji obuhvaćaju prometnu infrastrukturu ili građevine koje utječu na promet, stručna rješenja moraju sadržavati prometno-sigurnosne analize i procjene učinaka na sigurnost prometa.</w:t>
      </w:r>
    </w:p>
    <w:p w14:paraId="1D43790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Načelo prostorne održivosti, razvitka i vrsnoće gradnje</w:t>
      </w:r>
    </w:p>
    <w:p w14:paraId="4086FB6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11.</w:t>
      </w:r>
    </w:p>
    <w:p w14:paraId="1566790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 svrhu ostvarivanja održivog razvitka i vrsnoće gradnje, prilikom prihvaćanja polazišta, strategija, programa, planova, propisa i drugih općih akata te njihove provedbe, Republika Hrvatska i jedinice lokalne i područne (regionalne) samouprave moraju poticati gospodarski i socijalni razvitak društva tako da se udovoljavanjem potreba današnje generacije predvide jednake mogućnosti za udovoljavanje potreba budućih generacija te da se spriječi prevladavanje interesa pojedinih djelatnosti na račun uravnoteženosti razvoja, prirode, zaštite okoliša, krajobraza, kulturnih dobara i potreba drugih korisnika prostora.</w:t>
      </w:r>
    </w:p>
    <w:p w14:paraId="173EC62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Prostornim uređenjem podržava se održivi razvitak tako da se na temelju praćenja, analize i ocjene razvoja pojedinih djelatnosti i osjetljivosti prostora osigura kvaliteta životnog i radnog okoliša, ujednačenost standarda uređenja pojedinih područja, učinkovitost gospodarenja energijom, zemljišta i prirodnih dobara te očuva prostorna osobnost i dugoročno zaštiti prostor kao osnove zajedničke dobrobiti.</w:t>
      </w:r>
    </w:p>
    <w:p w14:paraId="5E43DB1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Održivi razvitak podržava se i kružnim gospodarenjem prostorom, građevinama, svim prirodnim i stvorenim vrijednostima tako da se očuvaju postojeći resursi uređenjem i revitalizacijom prostora i građevina i njihovom ponovnom uporabom kako bi se stvorila dodatna trajnija vrijednost i omogućilo učinkovito gospodarenje resursima.</w:t>
      </w:r>
    </w:p>
    <w:p w14:paraId="6C39124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Smanjenje onečišćenja prostora osigurava se ponovnom uporabom viškova iskopa, građevinskog otpada i drugih materijala podobnih za gradnju.</w:t>
      </w:r>
    </w:p>
    <w:p w14:paraId="647E9FC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(5) Načelo vrsnoće gradnje podrazumijeva primjenu tehnički, funkcionalno, ekološki i estetski primjerenih rješenja u planiranju, projektiranju i gradnji, kojima se osigurava trajnost građevine u skladu s definiranim rokom trajanja, sigurnost, uporabljivost i održivost građevine i okolnog prostora, uz poštivanje obilježja prostora i izgrađenog okoliša te očuvanje duha mjesta i njegovih prostorno-kulturnih vrijednosti, u skladu s važećim propisima i pravilima struke.</w:t>
      </w:r>
    </w:p>
    <w:p w14:paraId="68C496D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Održivost se ostvaruje i prioritetnim planiranjem održivih oblika kretanja. U planovima se osigurava konkurentan javni prijevoz, kvalitetna pješačka i biciklistička mreža te mjere upravljanja potražnjom za putovanjima.</w:t>
      </w:r>
    </w:p>
    <w:p w14:paraId="58DBB87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Načelo očuvanja prostora i obnove prirode</w:t>
      </w:r>
    </w:p>
    <w:p w14:paraId="004122A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12.</w:t>
      </w:r>
    </w:p>
    <w:p w14:paraId="5DDA02B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Prostor Republike Hrvatske kao neobnovljivi resurs potrebno je štititi od svih neprimjerenih ljudskih djelovanja kojima se devastiraju prostorne, krajobrazne, kulturne i prirodne vrijednosti.</w:t>
      </w:r>
    </w:p>
    <w:p w14:paraId="0FA7990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Prostor je potrebno planirati takvim planskim rješenjima koja osiguravaju da u urbanim ekosustavima ne dođe do gubitka urbanih zelenih površina i prekrivenosti gradova krošnjama stabala i koja osiguravaju porast površine urbanih ekosustava, na cijelom području Republike Hrvatske.</w:t>
      </w:r>
    </w:p>
    <w:p w14:paraId="2BA6624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Planskim rješenjima i propisanim rokovima izrade prostornih planova osigurava se očuvanje i oporavak bioraznolikosti, obnova i jačanje otpornosti ekosustava te jačanje otpornosti prostora na utjecaje klimatskih promjena radi učinkovitog iskorištavanja prirodnih resursa te zaštite zdravlja i dobrobiti ljudi od rizika povezanih s okolišem i utjecaja okoliša na njih.</w:t>
      </w:r>
    </w:p>
    <w:p w14:paraId="29153B9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Načelo ostvarivanja i zaštite javnog i pojedinačnog interesa</w:t>
      </w:r>
    </w:p>
    <w:p w14:paraId="2E9C357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13.</w:t>
      </w:r>
    </w:p>
    <w:p w14:paraId="39BB409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 svrhu ostvarivanja ciljeva prostornog uređenja, nadležna javnopravna tijela, nositelji izrade te stručni izrađivači prostornih planova državne, područne (regionalne) i lokalne razine prosuđuju i međusobno usklađuju javni interes i pojedinačne interese koje moraju poštivati u obavljanju poslova prostornog uređenja, pri čemu pojedinačni interesi ne smiju štetiti javnom interesu.</w:t>
      </w:r>
    </w:p>
    <w:p w14:paraId="5FA9A31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Javni interes zaštićuje se razgraničenjem prostora za javne namjene primjenom odgovarajućih prostornih normi i prostornih standarda od ostalog prostora vodeći pri tome računa da svi korisnici, koliko god je to moguće, podjednako snose teret razgraničenja.</w:t>
      </w:r>
    </w:p>
    <w:p w14:paraId="09E29914"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Načelo horizontalne integracije u zaštiti prostora</w:t>
      </w:r>
    </w:p>
    <w:p w14:paraId="5517411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14.</w:t>
      </w:r>
    </w:p>
    <w:p w14:paraId="7828413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 izradi i donošenju razvojnih dokumenata kao što su strategije, planovi i programi, propisa i drugih općih akata od utjecaja na prostor, koji se donose na temelju posebnih propisa te prilikom njihove provedbe moraju se uvažavati načela prostornog uređenja i osigurati usklađenost pristupa pri izradi propisa i mjera između različitih gospodarskih i upravnih područja, koji utječu na prostorni razvoj i korištenje prostora, radi postizanja uravnotežene prostorne održivosti u procesima kojima se utječe na preobrazbu naselja, korištenje prirodnih dobara, zaštitu prirode i okoliša te na razvoj djelatnosti i infrastrukture te njihova smještaja u prostoru.</w:t>
      </w:r>
    </w:p>
    <w:p w14:paraId="3B5A56C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Prihvaćanju i provedbi akata iz stavka 1. ovoga članka prethodi koordinacija s javnopravnim tijelima određenim posebnim propisima i suglasnost Ministarstva u dijelu usklađenosti s načelima prostornog uređenja i politikama izrađenim kroz Strategiju prostornoga razvoja Republike Hrvatske.</w:t>
      </w:r>
    </w:p>
    <w:p w14:paraId="13C0304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U izradi i donošenju dokumenata prostornoga uređenja zahtjevi sadržani u dokumentima i aktima iz stavka 1. ovoga članka analiziraju se, međusobno vrednuju i ocjenjuju kroz sintezu i usuglašavanje, pri čemu se posebno uzima u obzir osjetljivost prostora, odnos prema prirodnim dobrima i kulturnoj baštini te ukupnost njihovih međusobnih utjecaja, kao i međusobnih utjecaja postojećih i planiranih zahvata u prostoru, vodeći pri tom računa o neobnovljivim prirodnim resursima te ekološkim i socijalnim kapacitetima prostora.</w:t>
      </w:r>
    </w:p>
    <w:p w14:paraId="4F0872F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Načelo vertikalne integracije</w:t>
      </w:r>
    </w:p>
    <w:p w14:paraId="122FA53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15.</w:t>
      </w:r>
    </w:p>
    <w:p w14:paraId="48E29C0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Pri utvrđivanju polazišta i donošenju dokumenata prostornoga uređenja Republika Hrvatska i jedinice lokalne i područne (regionalne) samouprave te druga javnopravna tijela dužni su međusobno surađivati i uvažavati ciljeve i interese izražene u dokumentima prostornog uređenja više razine odnosno šireg područja te sudjelovati u postupcima izrade i donošenja prostornih planova na način propisan ovim Zakonom.</w:t>
      </w:r>
    </w:p>
    <w:p w14:paraId="388993D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Načelo sudjelovanja javnosti u prostornom uređenju</w:t>
      </w:r>
    </w:p>
    <w:p w14:paraId="10F94EE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16.</w:t>
      </w:r>
    </w:p>
    <w:p w14:paraId="4755162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Javnost ima pravo sudjelovati u postupcima izrade i donošenja prostornih planova u skladu s ovim Zakonom.</w:t>
      </w:r>
    </w:p>
    <w:p w14:paraId="263F203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Republika Hrvatska i jedinice lokalne i područne (regionalne) samouprave putem tijela nadležnih za prostorno uređenje moraju o stanju u prostoru obavještavati javnost, omogućiti i poticati njezino sudjelovanje razvijanjem društvene povezanosti i jačanjem svijesti o potrebi zaštite prostora te upravljanjem sudjelovanja putem prikupljanja i organizacije prijedloga, pribavljanja stručnih mišljenja o javnim stavovima te posredovanja medija.</w:t>
      </w:r>
    </w:p>
    <w:p w14:paraId="5EC3E69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(3) Javnost ima pravo pristupa informacijama, odnosno podacima o prostoru putem javnog informacijskog sustava prostornog uređenja Republike Hrvatske i drugih javno dostupnih sustava prostornog uređenja.</w:t>
      </w:r>
    </w:p>
    <w:p w14:paraId="1C717444"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Načelo ekonomičnosti</w:t>
      </w:r>
    </w:p>
    <w:p w14:paraId="4786068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17.</w:t>
      </w:r>
    </w:p>
    <w:p w14:paraId="7BB5613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Postupak izrade i donošenja prostornih planova i drugih dokumenata prostornog uređenja mora se voditi ekonomično, uz što manje troškova i bez umnožavanja </w:t>
      </w:r>
      <w:proofErr w:type="spellStart"/>
      <w:r w:rsidRPr="007E17BF">
        <w:rPr>
          <w:rFonts w:ascii="Times New Roman" w:eastAsia="Times New Roman" w:hAnsi="Times New Roman"/>
          <w:color w:val="231F20"/>
          <w:sz w:val="20"/>
          <w:szCs w:val="20"/>
          <w:lang w:eastAsia="hr-HR"/>
        </w:rPr>
        <w:t>postupovnih</w:t>
      </w:r>
      <w:proofErr w:type="spellEnd"/>
      <w:r w:rsidRPr="007E17BF">
        <w:rPr>
          <w:rFonts w:ascii="Times New Roman" w:eastAsia="Times New Roman" w:hAnsi="Times New Roman"/>
          <w:color w:val="231F20"/>
          <w:sz w:val="20"/>
          <w:szCs w:val="20"/>
          <w:lang w:eastAsia="hr-HR"/>
        </w:rPr>
        <w:t xml:space="preserve"> faza, dokumentacije ili odluka, a vodeći računa o svim potrebnim podacima za izradu prostorno-planskog rješenja tako da se osigura njegova kvaliteta i cjelovitost.</w:t>
      </w:r>
    </w:p>
    <w:p w14:paraId="785FD565"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Načelo dinamičkog planiranja</w:t>
      </w:r>
    </w:p>
    <w:p w14:paraId="0F8A701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18.</w:t>
      </w:r>
    </w:p>
    <w:p w14:paraId="4CFBDC1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Načelo dinamičkog planiranja podrazumijeva pojednostavnjene izrade izmjena prostornih planova u dijelu planskih rješenja bez potrebe ponavljanja postupaka o kojima se odlučivalo pri donošenju prostornog plana. Provedba ovoga načela osigurava se primjenom suvremenih digitalnih alata i postupaka.</w:t>
      </w:r>
    </w:p>
    <w:p w14:paraId="7536D96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Pojmovi</w:t>
      </w:r>
    </w:p>
    <w:p w14:paraId="543F6B6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19.</w:t>
      </w:r>
    </w:p>
    <w:p w14:paraId="2009568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Pojedini pojmovi u smislu ovoga Zakona te propisa i akata koji se donose na temelju ovoga Zakona imaju sljedeće značenje:</w:t>
      </w:r>
    </w:p>
    <w:p w14:paraId="2148F3F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w:t>
      </w:r>
      <w:r w:rsidRPr="007E17BF">
        <w:rPr>
          <w:rFonts w:ascii="Times New Roman" w:eastAsia="Times New Roman" w:hAnsi="Times New Roman"/>
          <w:color w:val="231F20"/>
          <w:sz w:val="20"/>
          <w:szCs w:val="20"/>
          <w:bdr w:val="none" w:sz="0" w:space="0" w:color="auto" w:frame="1"/>
          <w:lang w:eastAsia="hr-HR"/>
        </w:rPr>
        <w:t>BIM </w:t>
      </w:r>
      <w:r w:rsidRPr="007E17BF">
        <w:rPr>
          <w:rFonts w:ascii="Times New Roman" w:eastAsia="Times New Roman" w:hAnsi="Times New Roman"/>
          <w:color w:val="231F20"/>
          <w:sz w:val="20"/>
          <w:szCs w:val="20"/>
          <w:lang w:eastAsia="hr-HR"/>
        </w:rPr>
        <w:t>je informacijsko modeliranje građevine/gradnje, uključuje organizaciju i digitalizaciju informacija o zgradama i inženjerskim građevinama putem BIM modela</w:t>
      </w:r>
    </w:p>
    <w:p w14:paraId="06C37DA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w:t>
      </w:r>
      <w:proofErr w:type="spellStart"/>
      <w:r w:rsidRPr="007E17BF">
        <w:rPr>
          <w:rFonts w:ascii="Times New Roman" w:eastAsia="Times New Roman" w:hAnsi="Times New Roman"/>
          <w:color w:val="231F20"/>
          <w:sz w:val="20"/>
          <w:szCs w:val="20"/>
          <w:bdr w:val="none" w:sz="0" w:space="0" w:color="auto" w:frame="1"/>
          <w:lang w:eastAsia="hr-HR"/>
        </w:rPr>
        <w:t>brownfield</w:t>
      </w:r>
      <w:proofErr w:type="spellEnd"/>
      <w:r w:rsidRPr="007E17BF">
        <w:rPr>
          <w:rFonts w:ascii="Times New Roman" w:eastAsia="Times New Roman" w:hAnsi="Times New Roman"/>
          <w:color w:val="231F20"/>
          <w:sz w:val="20"/>
          <w:szCs w:val="20"/>
          <w:bdr w:val="none" w:sz="0" w:space="0" w:color="auto" w:frame="1"/>
          <w:lang w:eastAsia="hr-HR"/>
        </w:rPr>
        <w:t xml:space="preserve"> područje je </w:t>
      </w:r>
      <w:r w:rsidRPr="007E17BF">
        <w:rPr>
          <w:rFonts w:ascii="Times New Roman" w:eastAsia="Times New Roman" w:hAnsi="Times New Roman"/>
          <w:color w:val="231F20"/>
          <w:sz w:val="20"/>
          <w:szCs w:val="20"/>
          <w:lang w:eastAsia="hr-HR"/>
        </w:rPr>
        <w:t>napuštena površina i/ili nekretnina koja se ne koristi u svojoj osnovnoj namjeni ili je nedovoljno iskorištena odnosno degradirana te je slobodna za prenamjenu, urbanu preobrazbu, urbanu sanaciju i ponovnu uporabu, i kao takvo područje evidentirano u Registru </w:t>
      </w:r>
      <w:proofErr w:type="spellStart"/>
      <w:r w:rsidRPr="007E17BF">
        <w:rPr>
          <w:rFonts w:ascii="Times New Roman" w:eastAsia="Times New Roman" w:hAnsi="Times New Roman"/>
          <w:color w:val="231F20"/>
          <w:sz w:val="20"/>
          <w:szCs w:val="20"/>
          <w:bdr w:val="none" w:sz="0" w:space="0" w:color="auto" w:frame="1"/>
          <w:lang w:eastAsia="hr-HR"/>
        </w:rPr>
        <w:t>brownfield</w:t>
      </w:r>
      <w:proofErr w:type="spellEnd"/>
      <w:r w:rsidRPr="007E17BF">
        <w:rPr>
          <w:rFonts w:ascii="Times New Roman" w:eastAsia="Times New Roman" w:hAnsi="Times New Roman"/>
          <w:color w:val="231F20"/>
          <w:sz w:val="20"/>
          <w:szCs w:val="20"/>
          <w:bdr w:val="none" w:sz="0" w:space="0" w:color="auto" w:frame="1"/>
          <w:lang w:eastAsia="hr-HR"/>
        </w:rPr>
        <w:t> </w:t>
      </w:r>
      <w:r w:rsidRPr="007E17BF">
        <w:rPr>
          <w:rFonts w:ascii="Times New Roman" w:eastAsia="Times New Roman" w:hAnsi="Times New Roman"/>
          <w:color w:val="231F20"/>
          <w:sz w:val="20"/>
          <w:szCs w:val="20"/>
          <w:lang w:eastAsia="hr-HR"/>
        </w:rPr>
        <w:t>područja informacijskog sustava prostornog uređenja</w:t>
      </w:r>
    </w:p>
    <w:p w14:paraId="14B766D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w:t>
      </w:r>
      <w:r w:rsidRPr="007E17BF">
        <w:rPr>
          <w:rFonts w:ascii="Times New Roman" w:eastAsia="Times New Roman" w:hAnsi="Times New Roman"/>
          <w:color w:val="231F20"/>
          <w:sz w:val="20"/>
          <w:szCs w:val="20"/>
          <w:bdr w:val="none" w:sz="0" w:space="0" w:color="auto" w:frame="1"/>
          <w:lang w:eastAsia="hr-HR"/>
        </w:rPr>
        <w:t>dokumenti prostornog uređenja </w:t>
      </w:r>
      <w:r w:rsidRPr="007E17BF">
        <w:rPr>
          <w:rFonts w:ascii="Times New Roman" w:eastAsia="Times New Roman" w:hAnsi="Times New Roman"/>
          <w:color w:val="231F20"/>
          <w:sz w:val="20"/>
          <w:szCs w:val="20"/>
          <w:lang w:eastAsia="hr-HR"/>
        </w:rPr>
        <w:t>su Strategija prostornog razvoja Republike Hrvatske, izvješće o stanju u prostoru te prostorni planovi</w:t>
      </w:r>
    </w:p>
    <w:p w14:paraId="5AF1791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w:t>
      </w:r>
      <w:r w:rsidRPr="007E17BF">
        <w:rPr>
          <w:rFonts w:ascii="Times New Roman" w:eastAsia="Times New Roman" w:hAnsi="Times New Roman"/>
          <w:color w:val="231F20"/>
          <w:sz w:val="20"/>
          <w:szCs w:val="20"/>
          <w:bdr w:val="none" w:sz="0" w:space="0" w:color="auto" w:frame="1"/>
          <w:lang w:eastAsia="hr-HR"/>
        </w:rPr>
        <w:t>elektronička oglasna ploča </w:t>
      </w:r>
      <w:r w:rsidRPr="007E17BF">
        <w:rPr>
          <w:rFonts w:ascii="Times New Roman" w:eastAsia="Times New Roman" w:hAnsi="Times New Roman"/>
          <w:color w:val="231F20"/>
          <w:sz w:val="20"/>
          <w:szCs w:val="20"/>
          <w:lang w:eastAsia="hr-HR"/>
        </w:rPr>
        <w:t xml:space="preserve">je mrežna stranica za prikaz podataka koju uspostavlja Ministarstvo u sklopu elektroničkog programa </w:t>
      </w:r>
      <w:proofErr w:type="spellStart"/>
      <w:r w:rsidRPr="007E17BF">
        <w:rPr>
          <w:rFonts w:ascii="Times New Roman" w:eastAsia="Times New Roman" w:hAnsi="Times New Roman"/>
          <w:color w:val="231F20"/>
          <w:sz w:val="20"/>
          <w:szCs w:val="20"/>
          <w:lang w:eastAsia="hr-HR"/>
        </w:rPr>
        <w:t>eDozvola</w:t>
      </w:r>
      <w:proofErr w:type="spellEnd"/>
      <w:r w:rsidRPr="007E17BF">
        <w:rPr>
          <w:rFonts w:ascii="Times New Roman" w:eastAsia="Times New Roman" w:hAnsi="Times New Roman"/>
          <w:color w:val="231F20"/>
          <w:sz w:val="20"/>
          <w:szCs w:val="20"/>
          <w:lang w:eastAsia="hr-HR"/>
        </w:rPr>
        <w:t xml:space="preserve"> Ministarstva, smještena na državnoj informacijskoj infrastrukturi koja je integrirana u mrežne stranice županija i jedinica lokalne samouprave čija upravna tijela izdaju lokacijske dozvole i druge akte na temelju ovoga Zakona te građevinske dozvole i druge akte na temelju zakona kojim se uređuje gradnja</w:t>
      </w:r>
    </w:p>
    <w:p w14:paraId="7CBFFEA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w:t>
      </w:r>
      <w:r w:rsidRPr="007E17BF">
        <w:rPr>
          <w:rFonts w:ascii="Times New Roman" w:eastAsia="Times New Roman" w:hAnsi="Times New Roman"/>
          <w:color w:val="231F20"/>
          <w:sz w:val="20"/>
          <w:szCs w:val="20"/>
          <w:bdr w:val="none" w:sz="0" w:space="0" w:color="auto" w:frame="1"/>
          <w:lang w:eastAsia="hr-HR"/>
        </w:rPr>
        <w:t>etapno građenje </w:t>
      </w:r>
      <w:r w:rsidRPr="007E17BF">
        <w:rPr>
          <w:rFonts w:ascii="Times New Roman" w:eastAsia="Times New Roman" w:hAnsi="Times New Roman"/>
          <w:color w:val="231F20"/>
          <w:sz w:val="20"/>
          <w:szCs w:val="20"/>
          <w:lang w:eastAsia="hr-HR"/>
        </w:rPr>
        <w:t>je građenje pojedinih građevina od kojih se sastoji složena građevina, određenih lokacijskom dozvolom, a za koje građevine se izdaje jedna ili više građevinskih dozvola</w:t>
      </w:r>
    </w:p>
    <w:p w14:paraId="6C9A85C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w:t>
      </w:r>
      <w:r w:rsidRPr="007E17BF">
        <w:rPr>
          <w:rFonts w:ascii="Times New Roman" w:eastAsia="Times New Roman" w:hAnsi="Times New Roman"/>
          <w:color w:val="231F20"/>
          <w:sz w:val="20"/>
          <w:szCs w:val="20"/>
          <w:bdr w:val="none" w:sz="0" w:space="0" w:color="auto" w:frame="1"/>
          <w:lang w:eastAsia="hr-HR"/>
        </w:rPr>
        <w:t>fazno građenje </w:t>
      </w:r>
      <w:r w:rsidRPr="007E17BF">
        <w:rPr>
          <w:rFonts w:ascii="Times New Roman" w:eastAsia="Times New Roman" w:hAnsi="Times New Roman"/>
          <w:color w:val="231F20"/>
          <w:sz w:val="20"/>
          <w:szCs w:val="20"/>
          <w:lang w:eastAsia="hr-HR"/>
        </w:rPr>
        <w:t>je građenje građevine po njezinim dijelovima određenim lokacijskom dozvolom, a za koje dijelove se izdaje jedna ili više građevinskih dozvola</w:t>
      </w:r>
    </w:p>
    <w:p w14:paraId="7F0ABCB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w:t>
      </w:r>
      <w:r w:rsidRPr="007E17BF">
        <w:rPr>
          <w:rFonts w:ascii="Times New Roman" w:eastAsia="Times New Roman" w:hAnsi="Times New Roman"/>
          <w:color w:val="231F20"/>
          <w:sz w:val="20"/>
          <w:szCs w:val="20"/>
          <w:bdr w:val="none" w:sz="0" w:space="0" w:color="auto" w:frame="1"/>
          <w:lang w:eastAsia="hr-HR"/>
        </w:rPr>
        <w:t>GML format </w:t>
      </w:r>
      <w:r w:rsidRPr="007E17BF">
        <w:rPr>
          <w:rFonts w:ascii="Times New Roman" w:eastAsia="Times New Roman" w:hAnsi="Times New Roman"/>
          <w:color w:val="231F20"/>
          <w:sz w:val="20"/>
          <w:szCs w:val="20"/>
          <w:lang w:eastAsia="hr-HR"/>
        </w:rPr>
        <w:t>je standardni otvoreni elektronički format zapisa za dostavu i razmjenu prostornih podataka unutar informacijskog sustava prostornog uređenja i njegovih modula</w:t>
      </w:r>
    </w:p>
    <w:p w14:paraId="59F5C25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8. </w:t>
      </w:r>
      <w:r w:rsidRPr="007E17BF">
        <w:rPr>
          <w:rFonts w:ascii="Times New Roman" w:eastAsia="Times New Roman" w:hAnsi="Times New Roman"/>
          <w:color w:val="231F20"/>
          <w:sz w:val="20"/>
          <w:szCs w:val="20"/>
          <w:bdr w:val="none" w:sz="0" w:space="0" w:color="auto" w:frame="1"/>
          <w:lang w:eastAsia="hr-HR"/>
        </w:rPr>
        <w:t>građevinska (bruto) površina zgrade </w:t>
      </w:r>
      <w:r w:rsidRPr="007E17BF">
        <w:rPr>
          <w:rFonts w:ascii="Times New Roman" w:eastAsia="Times New Roman" w:hAnsi="Times New Roman"/>
          <w:color w:val="231F20"/>
          <w:sz w:val="20"/>
          <w:szCs w:val="20"/>
          <w:lang w:eastAsia="hr-HR"/>
        </w:rPr>
        <w:t xml:space="preserve">je zbroj površina mjerenih u razini podova svih dijelova (etaža) zgrade (Po, S, Pr, K, </w:t>
      </w:r>
      <w:proofErr w:type="spellStart"/>
      <w:r w:rsidRPr="007E17BF">
        <w:rPr>
          <w:rFonts w:ascii="Times New Roman" w:eastAsia="Times New Roman" w:hAnsi="Times New Roman"/>
          <w:color w:val="231F20"/>
          <w:sz w:val="20"/>
          <w:szCs w:val="20"/>
          <w:lang w:eastAsia="hr-HR"/>
        </w:rPr>
        <w:t>Pk</w:t>
      </w:r>
      <w:proofErr w:type="spellEnd"/>
      <w:r w:rsidRPr="007E17BF">
        <w:rPr>
          <w:rFonts w:ascii="Times New Roman" w:eastAsia="Times New Roman" w:hAnsi="Times New Roman"/>
          <w:color w:val="231F20"/>
          <w:sz w:val="20"/>
          <w:szCs w:val="20"/>
          <w:lang w:eastAsia="hr-HR"/>
        </w:rPr>
        <w:t>) određenih prema vanjskim mjerama obodnih zidova s oblogama, osim površine vanjskog dizala koje se dograđuje na postojeću zgradu, a koja se izračunava na način propisan ovim Zakonom</w:t>
      </w:r>
    </w:p>
    <w:p w14:paraId="442C8C8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9. </w:t>
      </w:r>
      <w:r w:rsidRPr="007E17BF">
        <w:rPr>
          <w:rFonts w:ascii="Times New Roman" w:eastAsia="Times New Roman" w:hAnsi="Times New Roman"/>
          <w:color w:val="231F20"/>
          <w:sz w:val="20"/>
          <w:szCs w:val="20"/>
          <w:bdr w:val="none" w:sz="0" w:space="0" w:color="auto" w:frame="1"/>
          <w:lang w:eastAsia="hr-HR"/>
        </w:rPr>
        <w:t>građevna čestica zgrade </w:t>
      </w:r>
      <w:r w:rsidRPr="007E17BF">
        <w:rPr>
          <w:rFonts w:ascii="Times New Roman" w:eastAsia="Times New Roman" w:hAnsi="Times New Roman"/>
          <w:color w:val="231F20"/>
          <w:sz w:val="20"/>
          <w:szCs w:val="20"/>
          <w:lang w:eastAsia="hr-HR"/>
        </w:rPr>
        <w:t>je u pravilu jedna katastarska čestica čiji je oblik, veličina i smještaj u prostoru u skladu s prostornim planom te koja ima pristup na prometnu površinu sukladan prostornom planu, ako ovim Zakonom nije propisano drukčije. Građevna čestica zgrade utvrđena aktima za provedbu zahvata u prostoru trajno je namijenjena za uporabu te zgrade</w:t>
      </w:r>
    </w:p>
    <w:p w14:paraId="7C1898A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10. </w:t>
      </w:r>
      <w:r w:rsidRPr="007E17BF">
        <w:rPr>
          <w:rFonts w:ascii="Times New Roman" w:eastAsia="Times New Roman" w:hAnsi="Times New Roman"/>
          <w:color w:val="231F20"/>
          <w:sz w:val="20"/>
          <w:szCs w:val="20"/>
          <w:bdr w:val="none" w:sz="0" w:space="0" w:color="auto" w:frame="1"/>
          <w:lang w:eastAsia="hr-HR"/>
        </w:rPr>
        <w:t>građevna čestica za linijsku infrastrukturu i druge infrastrukturne građevine </w:t>
      </w:r>
      <w:r w:rsidRPr="007E17BF">
        <w:rPr>
          <w:rFonts w:ascii="Times New Roman" w:eastAsia="Times New Roman" w:hAnsi="Times New Roman"/>
          <w:color w:val="231F20"/>
          <w:sz w:val="20"/>
          <w:szCs w:val="20"/>
          <w:lang w:eastAsia="hr-HR"/>
        </w:rPr>
        <w:t>je u pravilu jedna katastarska čestica, a može se sastojati i od dvije ili više katastarskih čestica ako se građevna čestica proteže područjima dviju ili više katastarskih općina ili kad linijska infrastruktura i/ili druge infrastrukturne građevine prelaze preko zemljišta u posebnim režimima kao što su javno vodno dobro, javno dobro i sl. odnosno preko zemljišta drugih upravitelja kao što su cesta, pruga i dr.</w:t>
      </w:r>
    </w:p>
    <w:p w14:paraId="56A4DE3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11. </w:t>
      </w:r>
      <w:r w:rsidRPr="007E17BF">
        <w:rPr>
          <w:rFonts w:ascii="Times New Roman" w:eastAsia="Times New Roman" w:hAnsi="Times New Roman"/>
          <w:color w:val="231F20"/>
          <w:sz w:val="20"/>
          <w:szCs w:val="20"/>
          <w:bdr w:val="none" w:sz="0" w:space="0" w:color="auto" w:frame="1"/>
          <w:lang w:eastAsia="hr-HR"/>
        </w:rPr>
        <w:t>građevine javne i društvene namjene </w:t>
      </w:r>
      <w:r w:rsidRPr="007E17BF">
        <w:rPr>
          <w:rFonts w:ascii="Times New Roman" w:eastAsia="Times New Roman" w:hAnsi="Times New Roman"/>
          <w:color w:val="231F20"/>
          <w:sz w:val="20"/>
          <w:szCs w:val="20"/>
          <w:lang w:eastAsia="hr-HR"/>
        </w:rPr>
        <w:t>su građevine namijenjene obavljanju djelatnosti u području društvenih djelatnosti kao što su odgoj, obrazovanje, prosvjeta, znanost, kultura, sport, zdravstvo i socijalna skrb, radu državnih tijela i organizacija, tijela i organizacija lokalne i područne (regionalne) samouprave, pravnih osoba s javnim ovlastima i udruga građana i vjerskih zajednica</w:t>
      </w:r>
    </w:p>
    <w:p w14:paraId="0DEDA99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12. </w:t>
      </w:r>
      <w:r w:rsidRPr="007E17BF">
        <w:rPr>
          <w:rFonts w:ascii="Times New Roman" w:eastAsia="Times New Roman" w:hAnsi="Times New Roman"/>
          <w:color w:val="231F20"/>
          <w:sz w:val="20"/>
          <w:szCs w:val="20"/>
          <w:bdr w:val="none" w:sz="0" w:space="0" w:color="auto" w:frame="1"/>
          <w:lang w:eastAsia="hr-HR"/>
        </w:rPr>
        <w:t>građevinsko područje </w:t>
      </w:r>
      <w:r w:rsidRPr="007E17BF">
        <w:rPr>
          <w:rFonts w:ascii="Times New Roman" w:eastAsia="Times New Roman" w:hAnsi="Times New Roman"/>
          <w:color w:val="231F20"/>
          <w:sz w:val="20"/>
          <w:szCs w:val="20"/>
          <w:lang w:eastAsia="hr-HR"/>
        </w:rPr>
        <w:t>je područje određeno prostornim planom za gradnju i budući razvoj, a koje se sastoji od građevinskog područja naselja, izdvojenog dijela građevinskog područja naselja i izdvojenog građevinskog područja izvan naselja</w:t>
      </w:r>
    </w:p>
    <w:p w14:paraId="718FD5E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13. </w:t>
      </w:r>
      <w:r w:rsidRPr="007E17BF">
        <w:rPr>
          <w:rFonts w:ascii="Times New Roman" w:eastAsia="Times New Roman" w:hAnsi="Times New Roman"/>
          <w:color w:val="231F20"/>
          <w:sz w:val="20"/>
          <w:szCs w:val="20"/>
          <w:bdr w:val="none" w:sz="0" w:space="0" w:color="auto" w:frame="1"/>
          <w:lang w:eastAsia="hr-HR"/>
        </w:rPr>
        <w:t>građevinsko zemljište </w:t>
      </w:r>
      <w:r w:rsidRPr="007E17BF">
        <w:rPr>
          <w:rFonts w:ascii="Times New Roman" w:eastAsia="Times New Roman" w:hAnsi="Times New Roman"/>
          <w:color w:val="231F20"/>
          <w:sz w:val="20"/>
          <w:szCs w:val="20"/>
          <w:lang w:eastAsia="hr-HR"/>
        </w:rPr>
        <w:t>je zemljište unutar granica građevinskog područja te zemljište izvan građevinskog područja obuhvaćeno građevnom česticom na kojoj je izgrađena građevina</w:t>
      </w:r>
    </w:p>
    <w:p w14:paraId="360CF24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14. </w:t>
      </w:r>
      <w:r w:rsidRPr="007E17BF">
        <w:rPr>
          <w:rFonts w:ascii="Times New Roman" w:eastAsia="Times New Roman" w:hAnsi="Times New Roman"/>
          <w:color w:val="231F20"/>
          <w:sz w:val="20"/>
          <w:szCs w:val="20"/>
          <w:bdr w:val="none" w:sz="0" w:space="0" w:color="auto" w:frame="1"/>
          <w:lang w:eastAsia="hr-HR"/>
        </w:rPr>
        <w:t>infrastruktura </w:t>
      </w:r>
      <w:r w:rsidRPr="007E17BF">
        <w:rPr>
          <w:rFonts w:ascii="Times New Roman" w:eastAsia="Times New Roman" w:hAnsi="Times New Roman"/>
          <w:color w:val="231F20"/>
          <w:sz w:val="20"/>
          <w:szCs w:val="20"/>
          <w:lang w:eastAsia="hr-HR"/>
        </w:rPr>
        <w:t>su komunalne, prometne, energetske, vodne, pomorske, komunikacijske, elektroničke komunikacijske i druge građevine namijenjene gospodarenju s drugim vrstama stvorenih i prirodnih dobara</w:t>
      </w:r>
    </w:p>
    <w:p w14:paraId="29B76A0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15. </w:t>
      </w:r>
      <w:r w:rsidRPr="007E17BF">
        <w:rPr>
          <w:rFonts w:ascii="Times New Roman" w:eastAsia="Times New Roman" w:hAnsi="Times New Roman"/>
          <w:color w:val="231F20"/>
          <w:sz w:val="20"/>
          <w:szCs w:val="20"/>
          <w:bdr w:val="none" w:sz="0" w:space="0" w:color="auto" w:frame="1"/>
          <w:lang w:eastAsia="hr-HR"/>
        </w:rPr>
        <w:t>infrastrukturni projekt </w:t>
      </w:r>
      <w:r w:rsidRPr="007E17BF">
        <w:rPr>
          <w:rFonts w:ascii="Times New Roman" w:eastAsia="Times New Roman" w:hAnsi="Times New Roman"/>
          <w:color w:val="231F20"/>
          <w:sz w:val="20"/>
          <w:szCs w:val="20"/>
          <w:lang w:eastAsia="hr-HR"/>
        </w:rPr>
        <w:t>je provedbeni dokument izrađen u skladu sa strateškim dokumentima prostornog uređenja i donosi se za prometne, energetske, vodne i druge građevine od državnog značaja ako za njih prostornim planom bilo koje razine nisu propisani uvjeti za njihovu neposrednu provedbu</w:t>
      </w:r>
    </w:p>
    <w:p w14:paraId="7C6B7F6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16. </w:t>
      </w:r>
      <w:r w:rsidRPr="007E17BF">
        <w:rPr>
          <w:rFonts w:ascii="Times New Roman" w:eastAsia="Times New Roman" w:hAnsi="Times New Roman"/>
          <w:color w:val="231F20"/>
          <w:sz w:val="20"/>
          <w:szCs w:val="20"/>
          <w:bdr w:val="none" w:sz="0" w:space="0" w:color="auto" w:frame="1"/>
          <w:lang w:eastAsia="hr-HR"/>
        </w:rPr>
        <w:t>integracija podataka rizika od katastrofa u sustav prostornog planiranja </w:t>
      </w:r>
      <w:r w:rsidRPr="007E17BF">
        <w:rPr>
          <w:rFonts w:ascii="Times New Roman" w:eastAsia="Times New Roman" w:hAnsi="Times New Roman"/>
          <w:color w:val="231F20"/>
          <w:sz w:val="20"/>
          <w:szCs w:val="20"/>
          <w:lang w:eastAsia="hr-HR"/>
        </w:rPr>
        <w:t>predstavlja obvezu korištenja smjernica, uputa, podloga i modela potresnog i drugih utvrđenih rizika pri izradi i donošenju prostornih planova, a prostorni plan sadrži odredbe i prikaze zona visokog, srednjeg i niskog rizika i s njima povezanih ograničenja i zabrane gradnje, uključujući i mjere smanjenja rizika</w:t>
      </w:r>
    </w:p>
    <w:p w14:paraId="4302C19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17. </w:t>
      </w:r>
      <w:r w:rsidRPr="007E17BF">
        <w:rPr>
          <w:rFonts w:ascii="Times New Roman" w:eastAsia="Times New Roman" w:hAnsi="Times New Roman"/>
          <w:color w:val="231F20"/>
          <w:sz w:val="20"/>
          <w:szCs w:val="20"/>
          <w:bdr w:val="none" w:sz="0" w:space="0" w:color="auto" w:frame="1"/>
          <w:lang w:eastAsia="hr-HR"/>
        </w:rPr>
        <w:t>interes Republike Hrvatske </w:t>
      </w:r>
      <w:r w:rsidRPr="007E17BF">
        <w:rPr>
          <w:rFonts w:ascii="Times New Roman" w:eastAsia="Times New Roman" w:hAnsi="Times New Roman"/>
          <w:color w:val="231F20"/>
          <w:sz w:val="20"/>
          <w:szCs w:val="20"/>
          <w:lang w:eastAsia="hr-HR"/>
        </w:rPr>
        <w:t xml:space="preserve">predstavljaju površine i građevine odgoja, obrazovanja, znanosti, zdravstva, socijalne skrbi, kulture, sporta i druge društvene infrastrukture osim onih u privatnom vlasništvu, infrastrukturni koridori, površine i građevine </w:t>
      </w:r>
      <w:proofErr w:type="spellStart"/>
      <w:r w:rsidRPr="007E17BF">
        <w:rPr>
          <w:rFonts w:ascii="Times New Roman" w:eastAsia="Times New Roman" w:hAnsi="Times New Roman"/>
          <w:color w:val="231F20"/>
          <w:sz w:val="20"/>
          <w:szCs w:val="20"/>
          <w:lang w:eastAsia="hr-HR"/>
        </w:rPr>
        <w:t>priuštivog</w:t>
      </w:r>
      <w:proofErr w:type="spellEnd"/>
      <w:r w:rsidRPr="007E17BF">
        <w:rPr>
          <w:rFonts w:ascii="Times New Roman" w:eastAsia="Times New Roman" w:hAnsi="Times New Roman"/>
          <w:color w:val="231F20"/>
          <w:sz w:val="20"/>
          <w:szCs w:val="20"/>
          <w:lang w:eastAsia="hr-HR"/>
        </w:rPr>
        <w:t xml:space="preserve"> stanovanja, površine urbane komasacije, zgrade tijela državne uprave i jedinica lokalne i područne (regionalne) samouprave, tijela sudbene vlasti i pravosudna tijela i sve druge građevine i površine za koje je odredbama posebnog zakona propisan interes Republike Hrvatske</w:t>
      </w:r>
    </w:p>
    <w:p w14:paraId="5BC8D85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18. </w:t>
      </w:r>
      <w:r w:rsidRPr="007E17BF">
        <w:rPr>
          <w:rFonts w:ascii="Times New Roman" w:eastAsia="Times New Roman" w:hAnsi="Times New Roman"/>
          <w:color w:val="231F20"/>
          <w:sz w:val="20"/>
          <w:szCs w:val="20"/>
          <w:bdr w:val="none" w:sz="0" w:space="0" w:color="auto" w:frame="1"/>
          <w:lang w:eastAsia="hr-HR"/>
        </w:rPr>
        <w:t>izdvojeno građevinsko područje izvan naselja </w:t>
      </w:r>
      <w:r w:rsidRPr="007E17BF">
        <w:rPr>
          <w:rFonts w:ascii="Times New Roman" w:eastAsia="Times New Roman" w:hAnsi="Times New Roman"/>
          <w:color w:val="231F20"/>
          <w:sz w:val="20"/>
          <w:szCs w:val="20"/>
          <w:lang w:eastAsia="hr-HR"/>
        </w:rPr>
        <w:t>je područje određeno prostornim planom kao prostorna cjelina izvan građevinskog područja naselja planirana za sve namjene, osim za stambenu</w:t>
      </w:r>
    </w:p>
    <w:p w14:paraId="431FE3A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19. </w:t>
      </w:r>
      <w:r w:rsidRPr="007E17BF">
        <w:rPr>
          <w:rFonts w:ascii="Times New Roman" w:eastAsia="Times New Roman" w:hAnsi="Times New Roman"/>
          <w:color w:val="231F20"/>
          <w:sz w:val="20"/>
          <w:szCs w:val="20"/>
          <w:bdr w:val="none" w:sz="0" w:space="0" w:color="auto" w:frame="1"/>
          <w:lang w:eastAsia="hr-HR"/>
        </w:rPr>
        <w:t>izdvojeni dio građevinskog područja naselja </w:t>
      </w:r>
      <w:r w:rsidRPr="007E17BF">
        <w:rPr>
          <w:rFonts w:ascii="Times New Roman" w:eastAsia="Times New Roman" w:hAnsi="Times New Roman"/>
          <w:color w:val="231F20"/>
          <w:sz w:val="20"/>
          <w:szCs w:val="20"/>
          <w:lang w:eastAsia="hr-HR"/>
        </w:rPr>
        <w:t>je odvojeni dio postojećega građevinskog područja istog naselja nastao djelovanjem tradicijskih, prostornih i funkcionalnih utjecaja, određen prostornim planom</w:t>
      </w:r>
    </w:p>
    <w:p w14:paraId="396CA4E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20. </w:t>
      </w:r>
      <w:r w:rsidRPr="007E17BF">
        <w:rPr>
          <w:rFonts w:ascii="Times New Roman" w:eastAsia="Times New Roman" w:hAnsi="Times New Roman"/>
          <w:color w:val="231F20"/>
          <w:sz w:val="20"/>
          <w:szCs w:val="20"/>
          <w:bdr w:val="none" w:sz="0" w:space="0" w:color="auto" w:frame="1"/>
          <w:lang w:eastAsia="hr-HR"/>
        </w:rPr>
        <w:t>izgrađena infrastruktura </w:t>
      </w:r>
      <w:r w:rsidRPr="007E17BF">
        <w:rPr>
          <w:rFonts w:ascii="Times New Roman" w:eastAsia="Times New Roman" w:hAnsi="Times New Roman"/>
          <w:color w:val="231F20"/>
          <w:sz w:val="20"/>
          <w:szCs w:val="20"/>
          <w:lang w:eastAsia="hr-HR"/>
        </w:rPr>
        <w:t xml:space="preserve">je infrastruktura koja postoji u naravi i koja je evidentirana u katastru infrastrukture, odnosno katastarskom </w:t>
      </w:r>
      <w:proofErr w:type="spellStart"/>
      <w:r w:rsidRPr="007E17BF">
        <w:rPr>
          <w:rFonts w:ascii="Times New Roman" w:eastAsia="Times New Roman" w:hAnsi="Times New Roman"/>
          <w:color w:val="231F20"/>
          <w:sz w:val="20"/>
          <w:szCs w:val="20"/>
          <w:lang w:eastAsia="hr-HR"/>
        </w:rPr>
        <w:t>operatu</w:t>
      </w:r>
      <w:proofErr w:type="spellEnd"/>
    </w:p>
    <w:p w14:paraId="17FE1C3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21. </w:t>
      </w:r>
      <w:r w:rsidRPr="007E17BF">
        <w:rPr>
          <w:rFonts w:ascii="Times New Roman" w:eastAsia="Times New Roman" w:hAnsi="Times New Roman"/>
          <w:color w:val="231F20"/>
          <w:sz w:val="20"/>
          <w:szCs w:val="20"/>
          <w:bdr w:val="none" w:sz="0" w:space="0" w:color="auto" w:frame="1"/>
          <w:lang w:eastAsia="hr-HR"/>
        </w:rPr>
        <w:t>javnopravna tijela </w:t>
      </w:r>
      <w:r w:rsidRPr="007E17BF">
        <w:rPr>
          <w:rFonts w:ascii="Times New Roman" w:eastAsia="Times New Roman" w:hAnsi="Times New Roman"/>
          <w:color w:val="231F20"/>
          <w:sz w:val="20"/>
          <w:szCs w:val="20"/>
          <w:lang w:eastAsia="hr-HR"/>
        </w:rPr>
        <w:t>su tijela državne uprave, druga državna tijela, upravni odjeli i službe jedinica lokalne odnosno područne (regionalne) samouprave nadležni za obavljanje poslova iz određenih upravnih područja, osim tijela koja po posebnom propisu vrše vlasničke ovlasti na građevinskom zemljištu u vlasništvu Republike Hrvatske, pravne osobe koje imaju javne ovlasti te druge osobe, određene posebnim zakonima, koja davanjem zahtjeva i mišljenja u postupku izrade i donošenja prostornih planova odnosno utvrđivanjem posebnih uvjeta i/ili uvjeta priključenja na način propisan ovim Zakonom sudjeluju u sustavu prostornog uređenja</w:t>
      </w:r>
    </w:p>
    <w:p w14:paraId="0A8D209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22. </w:t>
      </w:r>
      <w:r w:rsidRPr="007E17BF">
        <w:rPr>
          <w:rFonts w:ascii="Times New Roman" w:eastAsia="Times New Roman" w:hAnsi="Times New Roman"/>
          <w:color w:val="231F20"/>
          <w:sz w:val="20"/>
          <w:szCs w:val="20"/>
          <w:bdr w:val="none" w:sz="0" w:space="0" w:color="auto" w:frame="1"/>
          <w:lang w:eastAsia="hr-HR"/>
        </w:rPr>
        <w:t>katastar </w:t>
      </w:r>
      <w:r w:rsidRPr="007E17BF">
        <w:rPr>
          <w:rFonts w:ascii="Times New Roman" w:eastAsia="Times New Roman" w:hAnsi="Times New Roman"/>
          <w:color w:val="231F20"/>
          <w:sz w:val="20"/>
          <w:szCs w:val="20"/>
          <w:lang w:eastAsia="hr-HR"/>
        </w:rPr>
        <w:t>je katastar zemljišta odnosno katastar nekretnina prema zakonu kojim se uređuje državna izmjera i katastar nekretnina</w:t>
      </w:r>
    </w:p>
    <w:p w14:paraId="63289DB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23. </w:t>
      </w:r>
      <w:r w:rsidRPr="007E17BF">
        <w:rPr>
          <w:rFonts w:ascii="Times New Roman" w:eastAsia="Times New Roman" w:hAnsi="Times New Roman"/>
          <w:color w:val="231F20"/>
          <w:sz w:val="20"/>
          <w:szCs w:val="20"/>
          <w:bdr w:val="none" w:sz="0" w:space="0" w:color="auto" w:frame="1"/>
          <w:lang w:eastAsia="hr-HR"/>
        </w:rPr>
        <w:t>katastarski ured </w:t>
      </w:r>
      <w:r w:rsidRPr="007E17BF">
        <w:rPr>
          <w:rFonts w:ascii="Times New Roman" w:eastAsia="Times New Roman" w:hAnsi="Times New Roman"/>
          <w:color w:val="231F20"/>
          <w:sz w:val="20"/>
          <w:szCs w:val="20"/>
          <w:lang w:eastAsia="hr-HR"/>
        </w:rPr>
        <w:t>je područni ured za katastar Državne geodetske uprave odnosno Gradski ured za katastar i geodetske poslove Grada Zagreba</w:t>
      </w:r>
    </w:p>
    <w:p w14:paraId="28386E2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24. </w:t>
      </w:r>
      <w:r w:rsidRPr="007E17BF">
        <w:rPr>
          <w:rFonts w:ascii="Times New Roman" w:eastAsia="Times New Roman" w:hAnsi="Times New Roman"/>
          <w:color w:val="231F20"/>
          <w:sz w:val="20"/>
          <w:szCs w:val="20"/>
          <w:bdr w:val="none" w:sz="0" w:space="0" w:color="auto" w:frame="1"/>
          <w:lang w:eastAsia="hr-HR"/>
        </w:rPr>
        <w:t>komunalna infrastruktura </w:t>
      </w:r>
      <w:r w:rsidRPr="007E17BF">
        <w:rPr>
          <w:rFonts w:ascii="Times New Roman" w:eastAsia="Times New Roman" w:hAnsi="Times New Roman"/>
          <w:color w:val="231F20"/>
          <w:sz w:val="20"/>
          <w:szCs w:val="20"/>
          <w:lang w:eastAsia="hr-HR"/>
        </w:rPr>
        <w:t>su građevine namijenjene opskrbi pitkom vodom, odvodnji i pročišćavanju otpadnih voda, održavanju čistoće naselja, sakupljanju i obradi komunalnog otpada, ulična rasvjeta, tržnice na malo, groblja, krematoriji i površine javne namjene u naselju</w:t>
      </w:r>
    </w:p>
    <w:p w14:paraId="17E65F6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25. </w:t>
      </w:r>
      <w:r w:rsidRPr="007E17BF">
        <w:rPr>
          <w:rFonts w:ascii="Times New Roman" w:eastAsia="Times New Roman" w:hAnsi="Times New Roman"/>
          <w:color w:val="231F20"/>
          <w:sz w:val="20"/>
          <w:szCs w:val="20"/>
          <w:bdr w:val="none" w:sz="0" w:space="0" w:color="auto" w:frame="1"/>
          <w:lang w:eastAsia="hr-HR"/>
        </w:rPr>
        <w:t>koridori linijske infrastrukture </w:t>
      </w:r>
      <w:r w:rsidRPr="007E17BF">
        <w:rPr>
          <w:rFonts w:ascii="Times New Roman" w:eastAsia="Times New Roman" w:hAnsi="Times New Roman"/>
          <w:color w:val="231F20"/>
          <w:sz w:val="20"/>
          <w:szCs w:val="20"/>
          <w:lang w:eastAsia="hr-HR"/>
        </w:rPr>
        <w:t>su koridori od interesa za Republiku Hrvatsku, čine ga objedinjene površine rezervirane za smještaj različitih infrastrukturnih sustava koje je potrebno planirati, projektirati, graditi i održavati u svrhu zajedničkog korištenja, uz istodobno očuvanje interesa sigurnosti, funkcionalnosti i zaštite prostora</w:t>
      </w:r>
    </w:p>
    <w:p w14:paraId="7BE6C3B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26. </w:t>
      </w:r>
      <w:r w:rsidRPr="007E17BF">
        <w:rPr>
          <w:rFonts w:ascii="Times New Roman" w:eastAsia="Times New Roman" w:hAnsi="Times New Roman"/>
          <w:color w:val="231F20"/>
          <w:sz w:val="20"/>
          <w:szCs w:val="20"/>
          <w:bdr w:val="none" w:sz="0" w:space="0" w:color="auto" w:frame="1"/>
          <w:lang w:eastAsia="hr-HR"/>
        </w:rPr>
        <w:t>krajobraz </w:t>
      </w:r>
      <w:r w:rsidRPr="007E17BF">
        <w:rPr>
          <w:rFonts w:ascii="Times New Roman" w:eastAsia="Times New Roman" w:hAnsi="Times New Roman"/>
          <w:color w:val="231F20"/>
          <w:sz w:val="20"/>
          <w:szCs w:val="20"/>
          <w:lang w:eastAsia="hr-HR"/>
        </w:rPr>
        <w:t>je određeno područje, kako ga percipiraju ljudi, čiji je karakter rezultat međusobnog djelovanja prirodnih i/ili ljudskih čimbenika</w:t>
      </w:r>
    </w:p>
    <w:p w14:paraId="5EEF206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27. </w:t>
      </w:r>
      <w:r w:rsidRPr="007E17BF">
        <w:rPr>
          <w:rFonts w:ascii="Times New Roman" w:eastAsia="Times New Roman" w:hAnsi="Times New Roman"/>
          <w:color w:val="231F20"/>
          <w:sz w:val="20"/>
          <w:szCs w:val="20"/>
          <w:bdr w:val="none" w:sz="0" w:space="0" w:color="auto" w:frame="1"/>
          <w:lang w:eastAsia="hr-HR"/>
        </w:rPr>
        <w:t>kvaliteta (vrsnoća) izgrađenog prostora </w:t>
      </w:r>
      <w:r w:rsidRPr="007E17BF">
        <w:rPr>
          <w:rFonts w:ascii="Times New Roman" w:eastAsia="Times New Roman" w:hAnsi="Times New Roman"/>
          <w:color w:val="231F20"/>
          <w:sz w:val="20"/>
          <w:szCs w:val="20"/>
          <w:lang w:eastAsia="hr-HR"/>
        </w:rPr>
        <w:t>je opći interes, a osigurava se pristupom oblikovanju izgrađenog okoliša utemeljenog na povijesnom i kulturnom načinu oblikovanja prostora prema mjesnim prilikama, kojim se aktivno gradi društvena kohezija, osigurava ekološka održivost i pridonosi zdravlju i dobrobiti svih, a ispunjava funkcionalne, tehničke i ekonomske zahtjeve te zadovoljava društvene i psihološke potrebe ljudi</w:t>
      </w:r>
    </w:p>
    <w:p w14:paraId="16BA7F2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28. </w:t>
      </w:r>
      <w:r w:rsidRPr="007E17BF">
        <w:rPr>
          <w:rFonts w:ascii="Times New Roman" w:eastAsia="Times New Roman" w:hAnsi="Times New Roman"/>
          <w:color w:val="231F20"/>
          <w:sz w:val="20"/>
          <w:szCs w:val="20"/>
          <w:bdr w:val="none" w:sz="0" w:space="0" w:color="auto" w:frame="1"/>
          <w:lang w:eastAsia="hr-HR"/>
        </w:rPr>
        <w:t>lokacijski uvjeti </w:t>
      </w:r>
      <w:r w:rsidRPr="007E17BF">
        <w:rPr>
          <w:rFonts w:ascii="Times New Roman" w:eastAsia="Times New Roman" w:hAnsi="Times New Roman"/>
          <w:color w:val="231F20"/>
          <w:sz w:val="20"/>
          <w:szCs w:val="20"/>
          <w:lang w:eastAsia="hr-HR"/>
        </w:rPr>
        <w:t>su kvantitativni i kvalitativni uvjeti i mjere za provedbu zahvata u prostoru koji se na temelju prostornog plana i posebnih propisa određuju lokacijskom dozvolom ili građevinskom dozvolom</w:t>
      </w:r>
    </w:p>
    <w:p w14:paraId="0BAD11C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29. </w:t>
      </w:r>
      <w:r w:rsidRPr="007E17BF">
        <w:rPr>
          <w:rFonts w:ascii="Times New Roman" w:eastAsia="Times New Roman" w:hAnsi="Times New Roman"/>
          <w:color w:val="231F20"/>
          <w:sz w:val="20"/>
          <w:szCs w:val="20"/>
          <w:bdr w:val="none" w:sz="0" w:space="0" w:color="auto" w:frame="1"/>
          <w:lang w:eastAsia="hr-HR"/>
        </w:rPr>
        <w:t>morsko područje </w:t>
      </w:r>
      <w:r w:rsidRPr="007E17BF">
        <w:rPr>
          <w:rFonts w:ascii="Times New Roman" w:eastAsia="Times New Roman" w:hAnsi="Times New Roman"/>
          <w:color w:val="231F20"/>
          <w:sz w:val="20"/>
          <w:szCs w:val="20"/>
          <w:lang w:eastAsia="hr-HR"/>
        </w:rPr>
        <w:t xml:space="preserve">su unutarnje morske vode Republike Hrvatske, teritorijalno more Republike Hrvatske, zračni prostor iznad njih te dno i podzemlje tih morskih prostora, isključivi gospodarski pojas Republike Hrvatske u Jadranskom moru, a u smislu pripadnosti morskoj regiji pripada morskoj regiji Sredozemno more, </w:t>
      </w:r>
      <w:proofErr w:type="spellStart"/>
      <w:r w:rsidRPr="007E17BF">
        <w:rPr>
          <w:rFonts w:ascii="Times New Roman" w:eastAsia="Times New Roman" w:hAnsi="Times New Roman"/>
          <w:color w:val="231F20"/>
          <w:sz w:val="20"/>
          <w:szCs w:val="20"/>
          <w:lang w:eastAsia="hr-HR"/>
        </w:rPr>
        <w:t>podregiji</w:t>
      </w:r>
      <w:proofErr w:type="spellEnd"/>
      <w:r w:rsidRPr="007E17BF">
        <w:rPr>
          <w:rFonts w:ascii="Times New Roman" w:eastAsia="Times New Roman" w:hAnsi="Times New Roman"/>
          <w:color w:val="231F20"/>
          <w:sz w:val="20"/>
          <w:szCs w:val="20"/>
          <w:lang w:eastAsia="hr-HR"/>
        </w:rPr>
        <w:t xml:space="preserve"> Jadransko more</w:t>
      </w:r>
    </w:p>
    <w:p w14:paraId="098FB68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30. </w:t>
      </w:r>
      <w:r w:rsidRPr="007E17BF">
        <w:rPr>
          <w:rFonts w:ascii="Times New Roman" w:eastAsia="Times New Roman" w:hAnsi="Times New Roman"/>
          <w:color w:val="231F20"/>
          <w:sz w:val="20"/>
          <w:szCs w:val="20"/>
          <w:bdr w:val="none" w:sz="0" w:space="0" w:color="auto" w:frame="1"/>
          <w:lang w:eastAsia="hr-HR"/>
        </w:rPr>
        <w:t>namjena prostora, površina, zemljišta odnosno građevina </w:t>
      </w:r>
      <w:r w:rsidRPr="007E17BF">
        <w:rPr>
          <w:rFonts w:ascii="Times New Roman" w:eastAsia="Times New Roman" w:hAnsi="Times New Roman"/>
          <w:color w:val="231F20"/>
          <w:sz w:val="20"/>
          <w:szCs w:val="20"/>
          <w:lang w:eastAsia="hr-HR"/>
        </w:rPr>
        <w:t>je planirani sustav korištenja prostora, površina, zemljišta, mora odnosno uporabe građevina, određena, odnosno propisana prostornim planom</w:t>
      </w:r>
    </w:p>
    <w:p w14:paraId="6959BAC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31. </w:t>
      </w:r>
      <w:r w:rsidRPr="007E17BF">
        <w:rPr>
          <w:rFonts w:ascii="Times New Roman" w:eastAsia="Times New Roman" w:hAnsi="Times New Roman"/>
          <w:color w:val="231F20"/>
          <w:sz w:val="20"/>
          <w:szCs w:val="20"/>
          <w:bdr w:val="none" w:sz="0" w:space="0" w:color="auto" w:frame="1"/>
          <w:lang w:eastAsia="hr-HR"/>
        </w:rPr>
        <w:t>natječaj iz područja arhitekture i urbanizma </w:t>
      </w:r>
      <w:r w:rsidRPr="007E17BF">
        <w:rPr>
          <w:rFonts w:ascii="Times New Roman" w:eastAsia="Times New Roman" w:hAnsi="Times New Roman"/>
          <w:color w:val="231F20"/>
          <w:sz w:val="20"/>
          <w:szCs w:val="20"/>
          <w:lang w:eastAsia="hr-HR"/>
        </w:rPr>
        <w:t>je način stjecanja najkvalitetnijih rješenja iz područja urbanizma, arhitekture i krajobraznog uređenja koja najuspješnije udovoljavaju potrebama naručitelja, a u skladu s važećim propisima i stručnim kriterijima ocjenjivanja</w:t>
      </w:r>
    </w:p>
    <w:p w14:paraId="325F091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32. </w:t>
      </w:r>
      <w:r w:rsidRPr="007E17BF">
        <w:rPr>
          <w:rFonts w:ascii="Times New Roman" w:eastAsia="Times New Roman" w:hAnsi="Times New Roman"/>
          <w:color w:val="231F20"/>
          <w:sz w:val="20"/>
          <w:szCs w:val="20"/>
          <w:bdr w:val="none" w:sz="0" w:space="0" w:color="auto" w:frame="1"/>
          <w:lang w:eastAsia="hr-HR"/>
        </w:rPr>
        <w:t>nositelj izrade prostornog plana </w:t>
      </w:r>
      <w:r w:rsidRPr="007E17BF">
        <w:rPr>
          <w:rFonts w:ascii="Times New Roman" w:eastAsia="Times New Roman" w:hAnsi="Times New Roman"/>
          <w:color w:val="231F20"/>
          <w:sz w:val="20"/>
          <w:szCs w:val="20"/>
          <w:lang w:eastAsia="hr-HR"/>
        </w:rPr>
        <w:t>državne razine je Ministarstvo, prostornog plana područne (regionalne) razine stručno upravno tijelo županije odnosno Grada Zagreba, a prostornog plana lokalne razine stručno upravno tijelo jedinice lokalne samouprave</w:t>
      </w:r>
    </w:p>
    <w:p w14:paraId="02EC4B9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33. </w:t>
      </w:r>
      <w:r w:rsidRPr="007E17BF">
        <w:rPr>
          <w:rFonts w:ascii="Times New Roman" w:eastAsia="Times New Roman" w:hAnsi="Times New Roman"/>
          <w:color w:val="231F20"/>
          <w:sz w:val="20"/>
          <w:szCs w:val="20"/>
          <w:bdr w:val="none" w:sz="0" w:space="0" w:color="auto" w:frame="1"/>
          <w:lang w:eastAsia="hr-HR"/>
        </w:rPr>
        <w:t>osnovna infrastruktura </w:t>
      </w:r>
      <w:r w:rsidRPr="007E17BF">
        <w:rPr>
          <w:rFonts w:ascii="Times New Roman" w:eastAsia="Times New Roman" w:hAnsi="Times New Roman"/>
          <w:color w:val="231F20"/>
          <w:sz w:val="20"/>
          <w:szCs w:val="20"/>
          <w:lang w:eastAsia="hr-HR"/>
        </w:rPr>
        <w:t>je građevina za odvodnju otpadnih voda prema mjesnim prilikama određenim prostornim planom i prometna površina preko koje se osigurava pristup do građevne čestice, odnosno zgrade</w:t>
      </w:r>
    </w:p>
    <w:p w14:paraId="3E1C94F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34. </w:t>
      </w:r>
      <w:r w:rsidRPr="007E17BF">
        <w:rPr>
          <w:rFonts w:ascii="Times New Roman" w:eastAsia="Times New Roman" w:hAnsi="Times New Roman"/>
          <w:color w:val="231F20"/>
          <w:sz w:val="20"/>
          <w:szCs w:val="20"/>
          <w:bdr w:val="none" w:sz="0" w:space="0" w:color="auto" w:frame="1"/>
          <w:lang w:eastAsia="hr-HR"/>
        </w:rPr>
        <w:t>obalna crta </w:t>
      </w:r>
      <w:r w:rsidRPr="007E17BF">
        <w:rPr>
          <w:rFonts w:ascii="Times New Roman" w:eastAsia="Times New Roman" w:hAnsi="Times New Roman"/>
          <w:color w:val="231F20"/>
          <w:sz w:val="20"/>
          <w:szCs w:val="20"/>
          <w:lang w:eastAsia="hr-HR"/>
        </w:rPr>
        <w:t>je razdjelnica između kopna i mora</w:t>
      </w:r>
    </w:p>
    <w:p w14:paraId="698C32B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35. </w:t>
      </w:r>
      <w:r w:rsidRPr="007E17BF">
        <w:rPr>
          <w:rFonts w:ascii="Times New Roman" w:eastAsia="Times New Roman" w:hAnsi="Times New Roman"/>
          <w:color w:val="231F20"/>
          <w:sz w:val="20"/>
          <w:szCs w:val="20"/>
          <w:bdr w:val="none" w:sz="0" w:space="0" w:color="auto" w:frame="1"/>
          <w:lang w:eastAsia="hr-HR"/>
        </w:rPr>
        <w:t>obuhvat prostornog plana </w:t>
      </w:r>
      <w:r w:rsidRPr="007E17BF">
        <w:rPr>
          <w:rFonts w:ascii="Times New Roman" w:eastAsia="Times New Roman" w:hAnsi="Times New Roman"/>
          <w:color w:val="231F20"/>
          <w:sz w:val="20"/>
          <w:szCs w:val="20"/>
          <w:lang w:eastAsia="hr-HR"/>
        </w:rPr>
        <w:t>je prostorna ili administrativno određena cjelina za koju se donosi ili je donesen prostorni plan, a u koji ulazi i morsko područje zajedno s otocima, otočićima i hridima koji se nalaze u području određene administrativne jedinice</w:t>
      </w:r>
    </w:p>
    <w:p w14:paraId="42822C3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36. </w:t>
      </w:r>
      <w:r w:rsidRPr="007E17BF">
        <w:rPr>
          <w:rFonts w:ascii="Times New Roman" w:eastAsia="Times New Roman" w:hAnsi="Times New Roman"/>
          <w:color w:val="231F20"/>
          <w:sz w:val="20"/>
          <w:szCs w:val="20"/>
          <w:bdr w:val="none" w:sz="0" w:space="0" w:color="auto" w:frame="1"/>
          <w:lang w:eastAsia="hr-HR"/>
        </w:rPr>
        <w:t>održivo prostorno planiranje </w:t>
      </w:r>
      <w:r w:rsidRPr="007E17BF">
        <w:rPr>
          <w:rFonts w:ascii="Times New Roman" w:eastAsia="Times New Roman" w:hAnsi="Times New Roman"/>
          <w:color w:val="231F20"/>
          <w:sz w:val="20"/>
          <w:szCs w:val="20"/>
          <w:lang w:eastAsia="hr-HR"/>
        </w:rPr>
        <w:t>ostvaruje se usklađivanjem društvenih, gospodarskih i okolišnih potreba razvoja s prostornim potencijalima područja</w:t>
      </w:r>
    </w:p>
    <w:p w14:paraId="16E6E10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37. </w:t>
      </w:r>
      <w:r w:rsidRPr="007E17BF">
        <w:rPr>
          <w:rFonts w:ascii="Times New Roman" w:eastAsia="Times New Roman" w:hAnsi="Times New Roman"/>
          <w:color w:val="231F20"/>
          <w:sz w:val="20"/>
          <w:szCs w:val="20"/>
          <w:bdr w:val="none" w:sz="0" w:space="0" w:color="auto" w:frame="1"/>
          <w:lang w:eastAsia="hr-HR"/>
        </w:rPr>
        <w:t>parcelacijski elaborat </w:t>
      </w:r>
      <w:r w:rsidRPr="007E17BF">
        <w:rPr>
          <w:rFonts w:ascii="Times New Roman" w:eastAsia="Times New Roman" w:hAnsi="Times New Roman"/>
          <w:color w:val="231F20"/>
          <w:sz w:val="20"/>
          <w:szCs w:val="20"/>
          <w:lang w:eastAsia="hr-HR"/>
        </w:rPr>
        <w:t>je geodetski elaborat na temelju kojega se u skladu s odredbama ovoga Zakona i prema propisima o državnoj izmjeri i katastru nekretnina vrši dioba ili spajanje katastarskih čestica</w:t>
      </w:r>
    </w:p>
    <w:p w14:paraId="325348A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38. </w:t>
      </w:r>
      <w:r w:rsidRPr="007E17BF">
        <w:rPr>
          <w:rFonts w:ascii="Times New Roman" w:eastAsia="Times New Roman" w:hAnsi="Times New Roman"/>
          <w:color w:val="231F20"/>
          <w:sz w:val="20"/>
          <w:szCs w:val="20"/>
          <w:bdr w:val="none" w:sz="0" w:space="0" w:color="auto" w:frame="1"/>
          <w:lang w:eastAsia="hr-HR"/>
        </w:rPr>
        <w:t xml:space="preserve">površine namijenjene </w:t>
      </w:r>
      <w:proofErr w:type="spellStart"/>
      <w:r w:rsidRPr="007E17BF">
        <w:rPr>
          <w:rFonts w:ascii="Times New Roman" w:eastAsia="Times New Roman" w:hAnsi="Times New Roman"/>
          <w:color w:val="231F20"/>
          <w:sz w:val="20"/>
          <w:szCs w:val="20"/>
          <w:bdr w:val="none" w:sz="0" w:space="0" w:color="auto" w:frame="1"/>
          <w:lang w:eastAsia="hr-HR"/>
        </w:rPr>
        <w:t>priuštivom</w:t>
      </w:r>
      <w:proofErr w:type="spellEnd"/>
      <w:r w:rsidRPr="007E17BF">
        <w:rPr>
          <w:rFonts w:ascii="Times New Roman" w:eastAsia="Times New Roman" w:hAnsi="Times New Roman"/>
          <w:color w:val="231F20"/>
          <w:sz w:val="20"/>
          <w:szCs w:val="20"/>
          <w:bdr w:val="none" w:sz="0" w:space="0" w:color="auto" w:frame="1"/>
          <w:lang w:eastAsia="hr-HR"/>
        </w:rPr>
        <w:t xml:space="preserve"> stanovanju </w:t>
      </w:r>
      <w:r w:rsidRPr="007E17BF">
        <w:rPr>
          <w:rFonts w:ascii="Times New Roman" w:eastAsia="Times New Roman" w:hAnsi="Times New Roman"/>
          <w:color w:val="231F20"/>
          <w:sz w:val="20"/>
          <w:szCs w:val="20"/>
          <w:lang w:eastAsia="hr-HR"/>
        </w:rPr>
        <w:t>su površine unutar i izvan građevinskih područja na kojima je neposrednom provedbom ovoga Zakona moguća gradnja ovih vrsta građevina u svrhu postizanja ciljeva određenih Nacionalnim planom stambene politike</w:t>
      </w:r>
    </w:p>
    <w:p w14:paraId="4016B4E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39. </w:t>
      </w:r>
      <w:r w:rsidRPr="007E17BF">
        <w:rPr>
          <w:rFonts w:ascii="Times New Roman" w:eastAsia="Times New Roman" w:hAnsi="Times New Roman"/>
          <w:color w:val="231F20"/>
          <w:sz w:val="20"/>
          <w:szCs w:val="20"/>
          <w:bdr w:val="none" w:sz="0" w:space="0" w:color="auto" w:frame="1"/>
          <w:lang w:eastAsia="hr-HR"/>
        </w:rPr>
        <w:t>posebni uvjeti </w:t>
      </w:r>
      <w:r w:rsidRPr="007E17BF">
        <w:rPr>
          <w:rFonts w:ascii="Times New Roman" w:eastAsia="Times New Roman" w:hAnsi="Times New Roman"/>
          <w:color w:val="231F20"/>
          <w:sz w:val="20"/>
          <w:szCs w:val="20"/>
          <w:lang w:eastAsia="hr-HR"/>
        </w:rPr>
        <w:t>su uvjeti za provedbu zahvata u prostoru koje u slučaju propisanom posebnim propisom, u svrhu provedbe tog propisa, javnopravno tijelo utvrđuje na način propisan ovim Zakonom, osim uvjeta priključenja i mjera koje se utvrđuju u postupku procjene utjecaja zahvata na okoliš, postupku ocjene o potrebi procjene utjecaja na okoliš odnosno u postupku ocjene prihvatljivosti zahvata za ekološku mrežu</w:t>
      </w:r>
    </w:p>
    <w:p w14:paraId="4226453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40. </w:t>
      </w:r>
      <w:r w:rsidRPr="007E17BF">
        <w:rPr>
          <w:rFonts w:ascii="Times New Roman" w:eastAsia="Times New Roman" w:hAnsi="Times New Roman"/>
          <w:color w:val="231F20"/>
          <w:sz w:val="20"/>
          <w:szCs w:val="20"/>
          <w:bdr w:val="none" w:sz="0" w:space="0" w:color="auto" w:frame="1"/>
          <w:lang w:eastAsia="hr-HR"/>
        </w:rPr>
        <w:t>površina javne namjene </w:t>
      </w:r>
      <w:r w:rsidRPr="007E17BF">
        <w:rPr>
          <w:rFonts w:ascii="Times New Roman" w:eastAsia="Times New Roman" w:hAnsi="Times New Roman"/>
          <w:color w:val="231F20"/>
          <w:sz w:val="20"/>
          <w:szCs w:val="20"/>
          <w:lang w:eastAsia="hr-HR"/>
        </w:rPr>
        <w:t>je svaka površina čije je korištenje namijenjeno svima i pod jednakim uvjetima kao što su javne ceste, nerazvrstane ceste, ulice, biciklističke staze, pješačke staze i prolazi, trgovi, tržnice, igrališta, parkirališta, groblja, parkovne i zelene površine u naselju, sportsko-rekreacijske površine, škole, vrtići, bolnice i sl.</w:t>
      </w:r>
    </w:p>
    <w:p w14:paraId="513A96F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41. </w:t>
      </w:r>
      <w:r w:rsidRPr="007E17BF">
        <w:rPr>
          <w:rFonts w:ascii="Times New Roman" w:eastAsia="Times New Roman" w:hAnsi="Times New Roman"/>
          <w:color w:val="231F20"/>
          <w:sz w:val="20"/>
          <w:szCs w:val="20"/>
          <w:bdr w:val="none" w:sz="0" w:space="0" w:color="auto" w:frame="1"/>
          <w:lang w:eastAsia="hr-HR"/>
        </w:rPr>
        <w:t>površine za gradnju sunčanih elektrana </w:t>
      </w:r>
      <w:r w:rsidRPr="007E17BF">
        <w:rPr>
          <w:rFonts w:ascii="Times New Roman" w:eastAsia="Times New Roman" w:hAnsi="Times New Roman"/>
          <w:color w:val="231F20"/>
          <w:sz w:val="20"/>
          <w:szCs w:val="20"/>
          <w:lang w:eastAsia="hr-HR"/>
        </w:rPr>
        <w:t>su površine na kojima je sukladno odredbama ovoga Zakona moguće graditi infrastrukturne građevine sunčanih elektrana, i to:</w:t>
      </w:r>
    </w:p>
    <w:p w14:paraId="4FBE53D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a) površine koje su u prostornom planu bilo koje razine grafički određene u kartografskom prikazu kao površine namjene za izgradnju sunčanih elektrana, neovisno o tome jesu li unutar ili izvan građevinskog područja, te se kod takvih površina ne primjenjuju ograničenja snage sunčane elektrane propisana prostornim planom, osim na osobito vrijedno obradivo (P1) i vrijedno obradivo (P2) poljoprivredno zemljište</w:t>
      </w:r>
    </w:p>
    <w:p w14:paraId="53A3AF0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b) površine koje su u prostornom planu bilo koje razine određene kao površine izdvojenoga građevinskog područja izvan naselja gospodarske i poslovne namjene (I </w:t>
      </w:r>
      <w:proofErr w:type="spellStart"/>
      <w:r w:rsidRPr="007E17BF">
        <w:rPr>
          <w:rFonts w:ascii="Times New Roman" w:eastAsia="Times New Roman" w:hAnsi="Times New Roman"/>
          <w:color w:val="231F20"/>
          <w:sz w:val="20"/>
          <w:szCs w:val="20"/>
          <w:lang w:eastAsia="hr-HR"/>
        </w:rPr>
        <w:t>i</w:t>
      </w:r>
      <w:proofErr w:type="spellEnd"/>
      <w:r w:rsidRPr="007E17BF">
        <w:rPr>
          <w:rFonts w:ascii="Times New Roman" w:eastAsia="Times New Roman" w:hAnsi="Times New Roman"/>
          <w:color w:val="231F20"/>
          <w:sz w:val="20"/>
          <w:szCs w:val="20"/>
          <w:lang w:eastAsia="hr-HR"/>
        </w:rPr>
        <w:t xml:space="preserve"> K)</w:t>
      </w:r>
    </w:p>
    <w:p w14:paraId="497EA1C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c) površine koje su prostornim planom određene kao poljoprivredno tlo oznake P3, a u neposrednom su kontaktu s izdvojenim građevinskim područjima izvan naselja gospodarskih i poslovnih namjena na kojima se nalaze postojeće gospodarske ili poslovne građevine, uz uvjet da ista površina ne može biti veća od 50 % površine te gospodarske i poslovne zone, a dobivena električna energija koristi se za potrebe tih građevina</w:t>
      </w:r>
    </w:p>
    <w:p w14:paraId="1A10D09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d) vodne površine – jezera nastala eksploatacijom mineralnih sirovina, kao i ribnjaci i druga akvakultura na kopnu izvan područja ekološke mreže Natura 2000, uz prethodnu suglasnost davatelja koncesije odnosno davatelja zakupa ako je riječ o području pod koncesijom odnosno zakupom</w:t>
      </w:r>
    </w:p>
    <w:p w14:paraId="121E27E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e) površine zatvorenih odlagališta otpada ili zatvorenih odlagališnih ploha</w:t>
      </w:r>
    </w:p>
    <w:p w14:paraId="29ED07C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f) površine eksploatacijskih polja čvrstih mineralnih sirovina uz prethodnu suglasnost tijela nadležnog za rudarstvo te površine eksploatacijskih polja morske soli za dobivanje električne energije za vlastite potrebe uz prethodnu suglasnost ministarstva nadležnog za rudarstvo i ministarstva nadležnog za pomorstvo</w:t>
      </w:r>
    </w:p>
    <w:p w14:paraId="0551499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g) površine koje se nalaze unutar građevnih čestica postojećih infrastrukturnih i vodnih građevina uz prethodnu suglasnost tijela koje upravlja predmetnim infrastrukturnim sustavom i građevinom</w:t>
      </w:r>
    </w:p>
    <w:p w14:paraId="1A812B4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42. </w:t>
      </w:r>
      <w:r w:rsidRPr="007E17BF">
        <w:rPr>
          <w:rFonts w:ascii="Times New Roman" w:eastAsia="Times New Roman" w:hAnsi="Times New Roman"/>
          <w:color w:val="231F20"/>
          <w:sz w:val="20"/>
          <w:szCs w:val="20"/>
          <w:bdr w:val="none" w:sz="0" w:space="0" w:color="auto" w:frame="1"/>
          <w:lang w:eastAsia="hr-HR"/>
        </w:rPr>
        <w:t xml:space="preserve">površine za gradnju </w:t>
      </w:r>
      <w:proofErr w:type="spellStart"/>
      <w:r w:rsidRPr="007E17BF">
        <w:rPr>
          <w:rFonts w:ascii="Times New Roman" w:eastAsia="Times New Roman" w:hAnsi="Times New Roman"/>
          <w:color w:val="231F20"/>
          <w:sz w:val="20"/>
          <w:szCs w:val="20"/>
          <w:bdr w:val="none" w:sz="0" w:space="0" w:color="auto" w:frame="1"/>
          <w:lang w:eastAsia="hr-HR"/>
        </w:rPr>
        <w:t>agrosunčanih</w:t>
      </w:r>
      <w:proofErr w:type="spellEnd"/>
      <w:r w:rsidRPr="007E17BF">
        <w:rPr>
          <w:rFonts w:ascii="Times New Roman" w:eastAsia="Times New Roman" w:hAnsi="Times New Roman"/>
          <w:color w:val="231F20"/>
          <w:sz w:val="20"/>
          <w:szCs w:val="20"/>
          <w:bdr w:val="none" w:sz="0" w:space="0" w:color="auto" w:frame="1"/>
          <w:lang w:eastAsia="hr-HR"/>
        </w:rPr>
        <w:t xml:space="preserve"> elektrana </w:t>
      </w:r>
      <w:r w:rsidRPr="007E17BF">
        <w:rPr>
          <w:rFonts w:ascii="Times New Roman" w:eastAsia="Times New Roman" w:hAnsi="Times New Roman"/>
          <w:color w:val="231F20"/>
          <w:sz w:val="20"/>
          <w:szCs w:val="20"/>
          <w:lang w:eastAsia="hr-HR"/>
        </w:rPr>
        <w:t xml:space="preserve">su površine koje su prostornim planom bilo koje razine određene kao poljoprivredne površine osim na osobito vrijedno obradivo (P1) i vrijedno obradivo (P2) poljoprivredno zemljište i osim u područjima zaštićenima na temelju posebnih propisa o zaštiti prirode, a na kojima se uspostavom poljoprivrednih trajnih nasada upisanih u evidenciju uporabe poljoprivrednog zemljišta u digitalnom grafičkom obliku, postavom </w:t>
      </w:r>
      <w:proofErr w:type="spellStart"/>
      <w:r w:rsidRPr="007E17BF">
        <w:rPr>
          <w:rFonts w:ascii="Times New Roman" w:eastAsia="Times New Roman" w:hAnsi="Times New Roman"/>
          <w:color w:val="231F20"/>
          <w:sz w:val="20"/>
          <w:szCs w:val="20"/>
          <w:lang w:eastAsia="hr-HR"/>
        </w:rPr>
        <w:t>agrosunčanih</w:t>
      </w:r>
      <w:proofErr w:type="spellEnd"/>
      <w:r w:rsidRPr="007E17BF">
        <w:rPr>
          <w:rFonts w:ascii="Times New Roman" w:eastAsia="Times New Roman" w:hAnsi="Times New Roman"/>
          <w:color w:val="231F20"/>
          <w:sz w:val="20"/>
          <w:szCs w:val="20"/>
          <w:lang w:eastAsia="hr-HR"/>
        </w:rPr>
        <w:t xml:space="preserve"> elektrana postižu ciljevi razvoja poljoprivredne djelatnosti, uz zadržavanje namjene poljoprivrednog zemljišta</w:t>
      </w:r>
    </w:p>
    <w:p w14:paraId="6867161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43. </w:t>
      </w:r>
      <w:r w:rsidRPr="007E17BF">
        <w:rPr>
          <w:rFonts w:ascii="Times New Roman" w:eastAsia="Times New Roman" w:hAnsi="Times New Roman"/>
          <w:color w:val="231F20"/>
          <w:sz w:val="20"/>
          <w:szCs w:val="20"/>
          <w:bdr w:val="none" w:sz="0" w:space="0" w:color="auto" w:frame="1"/>
          <w:lang w:eastAsia="hr-HR"/>
        </w:rPr>
        <w:t>površine za gradnju geotermalnih bušotina za poljoprivredne i industrijske svrhe </w:t>
      </w:r>
      <w:r w:rsidRPr="007E17BF">
        <w:rPr>
          <w:rFonts w:ascii="Times New Roman" w:eastAsia="Times New Roman" w:hAnsi="Times New Roman"/>
          <w:color w:val="231F20"/>
          <w:sz w:val="20"/>
          <w:szCs w:val="20"/>
          <w:lang w:eastAsia="hr-HR"/>
        </w:rPr>
        <w:t>su površine na kojima je za potrebe poljoprivrednih kompleksa kao što su farme, staklenici i sl., uzgajališta u akvakulturi i industrijskih građevina moguće graditi geotermalnu bušotinu s pripadajućim postrojenjem za vlastite potrebe</w:t>
      </w:r>
    </w:p>
    <w:p w14:paraId="55C675F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44. </w:t>
      </w:r>
      <w:r w:rsidRPr="007E17BF">
        <w:rPr>
          <w:rFonts w:ascii="Times New Roman" w:eastAsia="Times New Roman" w:hAnsi="Times New Roman"/>
          <w:color w:val="231F20"/>
          <w:sz w:val="20"/>
          <w:szCs w:val="20"/>
          <w:bdr w:val="none" w:sz="0" w:space="0" w:color="auto" w:frame="1"/>
          <w:lang w:eastAsia="hr-HR"/>
        </w:rPr>
        <w:t>površine za gradnju građevina za potrebe Ministarstva obrane, Ministarstva unutarnjih poslova i Hrvatske narodne banke </w:t>
      </w:r>
      <w:r w:rsidRPr="007E17BF">
        <w:rPr>
          <w:rFonts w:ascii="Times New Roman" w:eastAsia="Times New Roman" w:hAnsi="Times New Roman"/>
          <w:color w:val="231F20"/>
          <w:sz w:val="20"/>
          <w:szCs w:val="20"/>
          <w:lang w:eastAsia="hr-HR"/>
        </w:rPr>
        <w:t>su površine koje su prostornim planovima određene kao površine posebne namjene na kojima je moguće graditi uz prethodnu suglasnost ministarstva nadležnog za poslove obrane</w:t>
      </w:r>
    </w:p>
    <w:p w14:paraId="39A9A01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45. </w:t>
      </w:r>
      <w:r w:rsidRPr="007E17BF">
        <w:rPr>
          <w:rFonts w:ascii="Times New Roman" w:eastAsia="Times New Roman" w:hAnsi="Times New Roman"/>
          <w:color w:val="231F20"/>
          <w:sz w:val="20"/>
          <w:szCs w:val="20"/>
          <w:bdr w:val="none" w:sz="0" w:space="0" w:color="auto" w:frame="1"/>
          <w:lang w:eastAsia="hr-HR"/>
        </w:rPr>
        <w:t>prirodna morska plaža </w:t>
      </w:r>
      <w:r w:rsidRPr="007E17BF">
        <w:rPr>
          <w:rFonts w:ascii="Times New Roman" w:eastAsia="Times New Roman" w:hAnsi="Times New Roman"/>
          <w:color w:val="231F20"/>
          <w:sz w:val="20"/>
          <w:szCs w:val="20"/>
          <w:lang w:eastAsia="hr-HR"/>
        </w:rPr>
        <w:t>je plaža koja se nalazi unutar ili izvan građevinskog područja, infrastrukturno je neopremljena, potpuno očuvanih prirodnih obilježja čiji kopneni dio obuhvaća prostor prirodnog materijala kao što su kamen, pijesak, šljunak, njihove kombinacije i sl., na kojoj nije dozvoljeno građenje građevina i nasipavanje, već samo izvođenje zahvata u prostoru koji se ne smatraju građenjem</w:t>
      </w:r>
    </w:p>
    <w:p w14:paraId="3B6F4DC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46. </w:t>
      </w:r>
      <w:r w:rsidRPr="007E17BF">
        <w:rPr>
          <w:rFonts w:ascii="Times New Roman" w:eastAsia="Times New Roman" w:hAnsi="Times New Roman"/>
          <w:color w:val="231F20"/>
          <w:sz w:val="20"/>
          <w:szCs w:val="20"/>
          <w:bdr w:val="none" w:sz="0" w:space="0" w:color="auto" w:frame="1"/>
          <w:lang w:eastAsia="hr-HR"/>
        </w:rPr>
        <w:t>prometna površina </w:t>
      </w:r>
      <w:r w:rsidRPr="007E17BF">
        <w:rPr>
          <w:rFonts w:ascii="Times New Roman" w:eastAsia="Times New Roman" w:hAnsi="Times New Roman"/>
          <w:color w:val="231F20"/>
          <w:sz w:val="20"/>
          <w:szCs w:val="20"/>
          <w:lang w:eastAsia="hr-HR"/>
        </w:rPr>
        <w:t>je površina javne namjene, a ako je to u skladu s prostornim planom, i površina u vlasništvu vlasnika građevne čestice ili površina na kojoj je osnovano pravo služnosti prolaza u svrhu pristupa do građevne čestice</w:t>
      </w:r>
    </w:p>
    <w:p w14:paraId="3807805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47. </w:t>
      </w:r>
      <w:r w:rsidRPr="007E17BF">
        <w:rPr>
          <w:rFonts w:ascii="Times New Roman" w:eastAsia="Times New Roman" w:hAnsi="Times New Roman"/>
          <w:color w:val="231F20"/>
          <w:sz w:val="20"/>
          <w:szCs w:val="20"/>
          <w:bdr w:val="none" w:sz="0" w:space="0" w:color="auto" w:frame="1"/>
          <w:lang w:eastAsia="hr-HR"/>
        </w:rPr>
        <w:t>prostor </w:t>
      </w:r>
      <w:r w:rsidRPr="007E17BF">
        <w:rPr>
          <w:rFonts w:ascii="Times New Roman" w:eastAsia="Times New Roman" w:hAnsi="Times New Roman"/>
          <w:color w:val="231F20"/>
          <w:sz w:val="20"/>
          <w:szCs w:val="20"/>
          <w:lang w:eastAsia="hr-HR"/>
        </w:rPr>
        <w:t>je sustav fizičkih sklopova na površini te ispod i iznad zemlje, mora, jezera i rijeka do kojih dopiru ili mogu doprijeti utjecaji djelovanja ljudi</w:t>
      </w:r>
    </w:p>
    <w:p w14:paraId="12D37A8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48. </w:t>
      </w:r>
      <w:r w:rsidRPr="007E17BF">
        <w:rPr>
          <w:rFonts w:ascii="Times New Roman" w:eastAsia="Times New Roman" w:hAnsi="Times New Roman"/>
          <w:color w:val="231F20"/>
          <w:sz w:val="20"/>
          <w:szCs w:val="20"/>
          <w:bdr w:val="none" w:sz="0" w:space="0" w:color="auto" w:frame="1"/>
          <w:lang w:eastAsia="hr-HR"/>
        </w:rPr>
        <w:t>prostor ograničenja </w:t>
      </w:r>
      <w:r w:rsidRPr="007E17BF">
        <w:rPr>
          <w:rFonts w:ascii="Times New Roman" w:eastAsia="Times New Roman" w:hAnsi="Times New Roman"/>
          <w:color w:val="231F20"/>
          <w:sz w:val="20"/>
          <w:szCs w:val="20"/>
          <w:lang w:eastAsia="hr-HR"/>
        </w:rPr>
        <w:t>je dio zaštićenog obalnog područja mora koji obuhvaća dio kopna i otoka u širini od 1000 m od obalne crte i pojas mora u širini od 300 m od obalne crte, u kojem se radi zaštite, ostvarenja ciljeva održivog, svrhovitog i gospodarski učinkovitog razvoja planiranje i korištenje prostora obavlja pod uvjetima određenim ovim Zakonom</w:t>
      </w:r>
    </w:p>
    <w:p w14:paraId="5610364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49. </w:t>
      </w:r>
      <w:r w:rsidRPr="007E17BF">
        <w:rPr>
          <w:rFonts w:ascii="Times New Roman" w:eastAsia="Times New Roman" w:hAnsi="Times New Roman"/>
          <w:color w:val="231F20"/>
          <w:sz w:val="20"/>
          <w:szCs w:val="20"/>
          <w:bdr w:val="none" w:sz="0" w:space="0" w:color="auto" w:frame="1"/>
          <w:lang w:eastAsia="hr-HR"/>
        </w:rPr>
        <w:t>prostorni standardi </w:t>
      </w:r>
      <w:r w:rsidRPr="007E17BF">
        <w:rPr>
          <w:rFonts w:ascii="Times New Roman" w:eastAsia="Times New Roman" w:hAnsi="Times New Roman"/>
          <w:color w:val="231F20"/>
          <w:sz w:val="20"/>
          <w:szCs w:val="20"/>
          <w:lang w:eastAsia="hr-HR"/>
        </w:rPr>
        <w:t>su skup mjera i pravila zaštite, uređenja i korištenja prostora koji se primjenjuju u izradi prostornih planova</w:t>
      </w:r>
    </w:p>
    <w:p w14:paraId="46FE31B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50. </w:t>
      </w:r>
      <w:r w:rsidRPr="007E17BF">
        <w:rPr>
          <w:rFonts w:ascii="Times New Roman" w:eastAsia="Times New Roman" w:hAnsi="Times New Roman"/>
          <w:color w:val="231F20"/>
          <w:sz w:val="20"/>
          <w:szCs w:val="20"/>
          <w:bdr w:val="none" w:sz="0" w:space="0" w:color="auto" w:frame="1"/>
          <w:lang w:eastAsia="hr-HR"/>
        </w:rPr>
        <w:t>prostorni plan </w:t>
      </w:r>
      <w:r w:rsidRPr="007E17BF">
        <w:rPr>
          <w:rFonts w:ascii="Times New Roman" w:eastAsia="Times New Roman" w:hAnsi="Times New Roman"/>
          <w:color w:val="231F20"/>
          <w:sz w:val="20"/>
          <w:szCs w:val="20"/>
          <w:lang w:eastAsia="hr-HR"/>
        </w:rPr>
        <w:t>je podzakonski propis kojim se u odnosu na razinu, značaj i detaljnost planiranja u okviru obuhvata za koji se prostorni plan izrađuje svrhovito planira prostor i propisuju mjere zaštite i uvjeti za izdavanje akata za njegovu provedbu, u skladu s ciljevima i uvjetima planiranja, te uvažavajući načela prostornog uređenja, propisanima ovim Zakonom, a donosi se na državnoj, županijskoj i lokalnoj razini, i to kao: Državni plan prostornog razvoja, prostorni planovi područja posebnih obilježja, prostorni plan županije, Prostorni plan Grada Zagreba, prostorni plan uređenja grada odnosno općine, generalni urbanistički plan i urbanistički plan uređenja</w:t>
      </w:r>
    </w:p>
    <w:p w14:paraId="20C5BB4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51. </w:t>
      </w:r>
      <w:r w:rsidRPr="007E17BF">
        <w:rPr>
          <w:rFonts w:ascii="Times New Roman" w:eastAsia="Times New Roman" w:hAnsi="Times New Roman"/>
          <w:color w:val="231F20"/>
          <w:sz w:val="20"/>
          <w:szCs w:val="20"/>
          <w:bdr w:val="none" w:sz="0" w:space="0" w:color="auto" w:frame="1"/>
          <w:lang w:eastAsia="hr-HR"/>
        </w:rPr>
        <w:t>prostorni plan nove generacije </w:t>
      </w:r>
      <w:r w:rsidRPr="007E17BF">
        <w:rPr>
          <w:rFonts w:ascii="Times New Roman" w:eastAsia="Times New Roman" w:hAnsi="Times New Roman"/>
          <w:color w:val="231F20"/>
          <w:sz w:val="20"/>
          <w:szCs w:val="20"/>
          <w:lang w:eastAsia="hr-HR"/>
        </w:rPr>
        <w:t xml:space="preserve">je prostorni plan koji je izrađen i donesen korištenjem elektroničkog sustava </w:t>
      </w:r>
      <w:proofErr w:type="spellStart"/>
      <w:r w:rsidRPr="007E17BF">
        <w:rPr>
          <w:rFonts w:ascii="Times New Roman" w:eastAsia="Times New Roman" w:hAnsi="Times New Roman"/>
          <w:color w:val="231F20"/>
          <w:sz w:val="20"/>
          <w:szCs w:val="20"/>
          <w:lang w:eastAsia="hr-HR"/>
        </w:rPr>
        <w:t>ePlanovi</w:t>
      </w:r>
      <w:proofErr w:type="spellEnd"/>
    </w:p>
    <w:p w14:paraId="5CAE7A6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52. </w:t>
      </w:r>
      <w:r w:rsidRPr="007E17BF">
        <w:rPr>
          <w:rFonts w:ascii="Times New Roman" w:eastAsia="Times New Roman" w:hAnsi="Times New Roman"/>
          <w:color w:val="231F20"/>
          <w:sz w:val="20"/>
          <w:szCs w:val="20"/>
          <w:bdr w:val="none" w:sz="0" w:space="0" w:color="auto" w:frame="1"/>
          <w:lang w:eastAsia="hr-HR"/>
        </w:rPr>
        <w:t>prostorno planiranje kao interdisciplinarna djelatnost </w:t>
      </w:r>
      <w:r w:rsidRPr="007E17BF">
        <w:rPr>
          <w:rFonts w:ascii="Times New Roman" w:eastAsia="Times New Roman" w:hAnsi="Times New Roman"/>
          <w:color w:val="231F20"/>
          <w:sz w:val="20"/>
          <w:szCs w:val="20"/>
          <w:lang w:eastAsia="hr-HR"/>
        </w:rPr>
        <w:t>je institucionalni i tehnički oblik za upravljanje prostornom dimenzijom održivosti, kojom se na temelju procjene razvojnih mogućnosti u okviru zadržavanja osobnosti prostora, zahtjeva zaštite prostora te očuvanja kakvoće okoliša i prirode određuje namjena prostora/površina, uvjeti za razvoj djelatnosti i infrastrukture te njihov razmještaj u prostoru, uvjeti za urbanu preobrazbu i urbanu sanaciju izgrađenih područja te uvjeti korištenja za ostvarivanje planiranih zahvata u prostoru, a sve u svrhu postizanja optimalnog rasporeda ljudi, dobara i djelatnosti</w:t>
      </w:r>
    </w:p>
    <w:p w14:paraId="2C9B3CB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53. </w:t>
      </w:r>
      <w:r w:rsidRPr="007E17BF">
        <w:rPr>
          <w:rFonts w:ascii="Times New Roman" w:eastAsia="Times New Roman" w:hAnsi="Times New Roman"/>
          <w:color w:val="231F20"/>
          <w:sz w:val="20"/>
          <w:szCs w:val="20"/>
          <w:bdr w:val="none" w:sz="0" w:space="0" w:color="auto" w:frame="1"/>
          <w:lang w:eastAsia="hr-HR"/>
        </w:rPr>
        <w:t>složeni investicijski zahvat </w:t>
      </w:r>
      <w:r w:rsidRPr="007E17BF">
        <w:rPr>
          <w:rFonts w:ascii="Times New Roman" w:eastAsia="Times New Roman" w:hAnsi="Times New Roman"/>
          <w:color w:val="231F20"/>
          <w:sz w:val="20"/>
          <w:szCs w:val="20"/>
          <w:lang w:eastAsia="hr-HR"/>
        </w:rPr>
        <w:t>je složeni zahvat u prostoru u kojem sudjeluje više investitora, a odvija se po etapama projekta ovisno o dinamici realizacije zahvata pri čemu se u svrhu postizanja funkcionalnosti cjelovitog zahvata, pojedine etape projekta sagledavaju u jedinstvenim postupcima planiranja i provedbe. Složeni investicijski zahvat može biti javni i/ili privatni</w:t>
      </w:r>
    </w:p>
    <w:p w14:paraId="5A758DF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54. </w:t>
      </w:r>
      <w:r w:rsidRPr="007E17BF">
        <w:rPr>
          <w:rFonts w:ascii="Times New Roman" w:eastAsia="Times New Roman" w:hAnsi="Times New Roman"/>
          <w:color w:val="231F20"/>
          <w:sz w:val="20"/>
          <w:szCs w:val="20"/>
          <w:bdr w:val="none" w:sz="0" w:space="0" w:color="auto" w:frame="1"/>
          <w:lang w:eastAsia="hr-HR"/>
        </w:rPr>
        <w:t>složena građevina </w:t>
      </w:r>
      <w:r w:rsidRPr="007E17BF">
        <w:rPr>
          <w:rFonts w:ascii="Times New Roman" w:eastAsia="Times New Roman" w:hAnsi="Times New Roman"/>
          <w:color w:val="231F20"/>
          <w:sz w:val="20"/>
          <w:szCs w:val="20"/>
          <w:lang w:eastAsia="hr-HR"/>
        </w:rPr>
        <w:t>je sklop više međusobno funkcionalno i/ili tehnološki povezanih građevina određen lokacijskom dozvolom</w:t>
      </w:r>
    </w:p>
    <w:p w14:paraId="6AD3901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55. </w:t>
      </w:r>
      <w:r w:rsidRPr="007E17BF">
        <w:rPr>
          <w:rFonts w:ascii="Times New Roman" w:eastAsia="Times New Roman" w:hAnsi="Times New Roman"/>
          <w:color w:val="231F20"/>
          <w:sz w:val="20"/>
          <w:szCs w:val="20"/>
          <w:bdr w:val="none" w:sz="0" w:space="0" w:color="auto" w:frame="1"/>
          <w:lang w:eastAsia="hr-HR"/>
        </w:rPr>
        <w:t>složeni zahvat u prostoru </w:t>
      </w:r>
      <w:r w:rsidRPr="007E17BF">
        <w:rPr>
          <w:rFonts w:ascii="Times New Roman" w:eastAsia="Times New Roman" w:hAnsi="Times New Roman"/>
          <w:color w:val="231F20"/>
          <w:sz w:val="20"/>
          <w:szCs w:val="20"/>
          <w:lang w:eastAsia="hr-HR"/>
        </w:rPr>
        <w:t>sastoji se od jedne ili više građevina i/ili zahvata u prostoru koji se prema propisima o gradnji ne smatraju građenjem, a za koje se određuje obuhvat zahvata u prostoru i jedna ili više građevnih čestica unutar obuhvata zahvata u prostoru kao što su kampovi, igrališta za golf, adrenalinski parkovi i sl.</w:t>
      </w:r>
    </w:p>
    <w:p w14:paraId="514AF8D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56. </w:t>
      </w:r>
      <w:r w:rsidRPr="007E17BF">
        <w:rPr>
          <w:rFonts w:ascii="Times New Roman" w:eastAsia="Times New Roman" w:hAnsi="Times New Roman"/>
          <w:color w:val="231F20"/>
          <w:sz w:val="20"/>
          <w:szCs w:val="20"/>
          <w:bdr w:val="none" w:sz="0" w:space="0" w:color="auto" w:frame="1"/>
          <w:lang w:eastAsia="hr-HR"/>
        </w:rPr>
        <w:t>stručne podloge </w:t>
      </w:r>
      <w:r w:rsidRPr="007E17BF">
        <w:rPr>
          <w:rFonts w:ascii="Times New Roman" w:eastAsia="Times New Roman" w:hAnsi="Times New Roman"/>
          <w:color w:val="231F20"/>
          <w:sz w:val="20"/>
          <w:szCs w:val="20"/>
          <w:lang w:eastAsia="hr-HR"/>
        </w:rPr>
        <w:t>su dokumenti i studije kojima se analizira postojeće i planirano stanje, kartografske, demografske, gospodarske, prometne, ekološke i okolišne, krajobrazne, geološke i hidrološke, energetske, kulturno-povijesne, urbanističko-arhitektonske i druge stručne podloge, kao i karte rizika za izradu prostornih planova, čija obveza izrade u ovisnosti o vrsti i razini prostornog plana proizlazi iz pravila pojedinih stručnih područja</w:t>
      </w:r>
    </w:p>
    <w:p w14:paraId="443995D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57. </w:t>
      </w:r>
      <w:r w:rsidRPr="007E17BF">
        <w:rPr>
          <w:rFonts w:ascii="Times New Roman" w:eastAsia="Times New Roman" w:hAnsi="Times New Roman"/>
          <w:color w:val="231F20"/>
          <w:sz w:val="20"/>
          <w:szCs w:val="20"/>
          <w:bdr w:val="none" w:sz="0" w:space="0" w:color="auto" w:frame="1"/>
          <w:lang w:eastAsia="hr-HR"/>
        </w:rPr>
        <w:t>stručno upravno tijelo </w:t>
      </w:r>
      <w:r w:rsidRPr="007E17BF">
        <w:rPr>
          <w:rFonts w:ascii="Times New Roman" w:eastAsia="Times New Roman" w:hAnsi="Times New Roman"/>
          <w:color w:val="231F20"/>
          <w:sz w:val="20"/>
          <w:szCs w:val="20"/>
          <w:lang w:eastAsia="hr-HR"/>
        </w:rPr>
        <w:t>je upravno tijelo općine, grada, velikoga grada, Grada Zagreba odnosno županije nadležno za obavljanje stručnih poslova prostornog uređenja</w:t>
      </w:r>
    </w:p>
    <w:p w14:paraId="7036405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58. </w:t>
      </w:r>
      <w:r w:rsidRPr="007E17BF">
        <w:rPr>
          <w:rFonts w:ascii="Times New Roman" w:eastAsia="Times New Roman" w:hAnsi="Times New Roman"/>
          <w:color w:val="231F20"/>
          <w:sz w:val="20"/>
          <w:szCs w:val="20"/>
          <w:bdr w:val="none" w:sz="0" w:space="0" w:color="auto" w:frame="1"/>
          <w:lang w:eastAsia="hr-HR"/>
        </w:rPr>
        <w:t>upravno tijelo </w:t>
      </w:r>
      <w:r w:rsidRPr="007E17BF">
        <w:rPr>
          <w:rFonts w:ascii="Times New Roman" w:eastAsia="Times New Roman" w:hAnsi="Times New Roman"/>
          <w:color w:val="231F20"/>
          <w:sz w:val="20"/>
          <w:szCs w:val="20"/>
          <w:lang w:eastAsia="hr-HR"/>
        </w:rPr>
        <w:t>je upravni odjel odnosno služba velikoga grada, Grada Zagreba odnosno županije nadležno za obavljanje upravnih poslova prostornog uređenja te jedinice lokalne samouprave kojima je županija sukladno posebnom zakonu povjerila obavljanje upravnih poslova prostornog uređenja</w:t>
      </w:r>
    </w:p>
    <w:p w14:paraId="6C4FC86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59. </w:t>
      </w:r>
      <w:r w:rsidRPr="007E17BF">
        <w:rPr>
          <w:rFonts w:ascii="Times New Roman" w:eastAsia="Times New Roman" w:hAnsi="Times New Roman"/>
          <w:color w:val="231F20"/>
          <w:sz w:val="20"/>
          <w:szCs w:val="20"/>
          <w:bdr w:val="none" w:sz="0" w:space="0" w:color="auto" w:frame="1"/>
          <w:lang w:eastAsia="hr-HR"/>
        </w:rPr>
        <w:t>urbana komasacija </w:t>
      </w:r>
      <w:r w:rsidRPr="007E17BF">
        <w:rPr>
          <w:rFonts w:ascii="Times New Roman" w:eastAsia="Times New Roman" w:hAnsi="Times New Roman"/>
          <w:color w:val="231F20"/>
          <w:sz w:val="20"/>
          <w:szCs w:val="20"/>
          <w:lang w:eastAsia="hr-HR"/>
        </w:rPr>
        <w:t>je postupak spajanja čestica građevinskog zemljišta u jednu cjelinu i njezina podjela na građevne i katastarske čestice na području komasacije za koje je u tu svrhu donesen urbanistički plan uređenja ili urbanistički projekt u cilju racionalnog korištenja i uređenja građevinskog zemljišta uz istodobno rješavanje imovinskopravnih odnosa i planiranje potrebne infrastrukture</w:t>
      </w:r>
    </w:p>
    <w:p w14:paraId="4BC9416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60. </w:t>
      </w:r>
      <w:r w:rsidRPr="007E17BF">
        <w:rPr>
          <w:rFonts w:ascii="Times New Roman" w:eastAsia="Times New Roman" w:hAnsi="Times New Roman"/>
          <w:color w:val="231F20"/>
          <w:sz w:val="20"/>
          <w:szCs w:val="20"/>
          <w:bdr w:val="none" w:sz="0" w:space="0" w:color="auto" w:frame="1"/>
          <w:lang w:eastAsia="hr-HR"/>
        </w:rPr>
        <w:t>urbana preobrazba </w:t>
      </w:r>
      <w:r w:rsidRPr="007E17BF">
        <w:rPr>
          <w:rFonts w:ascii="Times New Roman" w:eastAsia="Times New Roman" w:hAnsi="Times New Roman"/>
          <w:color w:val="231F20"/>
          <w:sz w:val="20"/>
          <w:szCs w:val="20"/>
          <w:lang w:eastAsia="hr-HR"/>
        </w:rPr>
        <w:t>je skup planskih mjera i uvjeta kojima se bitno mijenjaju obilježja izgrađenog dijela građevinskog područja promjenom urbane mreže javnih površina, namjene i oblikovanja građevina, i/ili rasporeda, oblika i veličine građevnih čestica. Urbana preobrazba obuhvaća postupke promjene i intervencije unutar izgrađenog dijela građevinskog područja grada, kao što su novi projekti i nova gradnja na mjestu oštećenih i devastiranih površina prijašnje gradnje te novi projekti i nova gradnja na tim površinama određeni urbanističkim planom uređenja ili urbanističkim projektom</w:t>
      </w:r>
    </w:p>
    <w:p w14:paraId="02DE3E9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61. </w:t>
      </w:r>
      <w:r w:rsidRPr="007E17BF">
        <w:rPr>
          <w:rFonts w:ascii="Times New Roman" w:eastAsia="Times New Roman" w:hAnsi="Times New Roman"/>
          <w:color w:val="231F20"/>
          <w:sz w:val="20"/>
          <w:szCs w:val="20"/>
          <w:bdr w:val="none" w:sz="0" w:space="0" w:color="auto" w:frame="1"/>
          <w:lang w:eastAsia="hr-HR"/>
        </w:rPr>
        <w:t>urbana sanacija </w:t>
      </w:r>
      <w:r w:rsidRPr="007E17BF">
        <w:rPr>
          <w:rFonts w:ascii="Times New Roman" w:eastAsia="Times New Roman" w:hAnsi="Times New Roman"/>
          <w:color w:val="231F20"/>
          <w:sz w:val="20"/>
          <w:szCs w:val="20"/>
          <w:lang w:eastAsia="hr-HR"/>
        </w:rPr>
        <w:t>je skup planskih mjera i uvjeta kojima se stanje prostornog nereda dovodi u funkcionalno i planski uređeno stanje odnosno poboljšava karakter izgrađenih područja unutar i izvan granica građevinskog područja devastiranih nezakonitim građenjem ili na drugi način</w:t>
      </w:r>
    </w:p>
    <w:p w14:paraId="2313251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62. </w:t>
      </w:r>
      <w:r w:rsidRPr="007E17BF">
        <w:rPr>
          <w:rFonts w:ascii="Times New Roman" w:eastAsia="Times New Roman" w:hAnsi="Times New Roman"/>
          <w:color w:val="231F20"/>
          <w:sz w:val="20"/>
          <w:szCs w:val="20"/>
          <w:bdr w:val="none" w:sz="0" w:space="0" w:color="auto" w:frame="1"/>
          <w:lang w:eastAsia="hr-HR"/>
        </w:rPr>
        <w:t>urbanistički projekt </w:t>
      </w:r>
      <w:r w:rsidRPr="007E17BF">
        <w:rPr>
          <w:rFonts w:ascii="Times New Roman" w:eastAsia="Times New Roman" w:hAnsi="Times New Roman"/>
          <w:color w:val="231F20"/>
          <w:sz w:val="20"/>
          <w:szCs w:val="20"/>
          <w:lang w:eastAsia="hr-HR"/>
        </w:rPr>
        <w:t>je provedbeni dokument prostornog uređenja koji se donosi za potrebe planiranja i provedbe na državnoj, područnoj (regionalnoj) i lokalnoj razini, a kojim se detaljno razrađuje prostorno i urbanističko uređenje određenog područja u skladu sa sadržajem propisanim ovim Zakonom</w:t>
      </w:r>
    </w:p>
    <w:p w14:paraId="3082596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63. </w:t>
      </w:r>
      <w:r w:rsidRPr="007E17BF">
        <w:rPr>
          <w:rFonts w:ascii="Times New Roman" w:eastAsia="Times New Roman" w:hAnsi="Times New Roman"/>
          <w:color w:val="231F20"/>
          <w:sz w:val="20"/>
          <w:szCs w:val="20"/>
          <w:bdr w:val="none" w:sz="0" w:space="0" w:color="auto" w:frame="1"/>
          <w:lang w:eastAsia="hr-HR"/>
        </w:rPr>
        <w:t>urbanističko planiranje </w:t>
      </w:r>
      <w:r w:rsidRPr="007E17BF">
        <w:rPr>
          <w:rFonts w:ascii="Times New Roman" w:eastAsia="Times New Roman" w:hAnsi="Times New Roman"/>
          <w:color w:val="231F20"/>
          <w:sz w:val="20"/>
          <w:szCs w:val="20"/>
          <w:lang w:eastAsia="hr-HR"/>
        </w:rPr>
        <w:t>je kontinuirani proces u sklopu kojeg se na multidisciplinarni način određuje održivi prostorni razvoj i uređenje urbanih i gradskih područja ili područja posebnih namjena određenih ovim Zakonom</w:t>
      </w:r>
    </w:p>
    <w:p w14:paraId="13AC3C1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64. </w:t>
      </w:r>
      <w:r w:rsidRPr="007E17BF">
        <w:rPr>
          <w:rFonts w:ascii="Times New Roman" w:eastAsia="Times New Roman" w:hAnsi="Times New Roman"/>
          <w:color w:val="231F20"/>
          <w:sz w:val="20"/>
          <w:szCs w:val="20"/>
          <w:bdr w:val="none" w:sz="0" w:space="0" w:color="auto" w:frame="1"/>
          <w:lang w:eastAsia="hr-HR"/>
        </w:rPr>
        <w:t>uređena morska plaža unutar građevinskog područja </w:t>
      </w:r>
      <w:r w:rsidRPr="007E17BF">
        <w:rPr>
          <w:rFonts w:ascii="Times New Roman" w:eastAsia="Times New Roman" w:hAnsi="Times New Roman"/>
          <w:color w:val="231F20"/>
          <w:sz w:val="20"/>
          <w:szCs w:val="20"/>
          <w:lang w:eastAsia="hr-HR"/>
        </w:rPr>
        <w:t>je zahvat u prostoru kojim se mijenjaju prirodna obilježja plaže, a sadrži infrastrukturno i sadržajno uređen kopneni prostor neposredno povezan s morem i koja je pristupačna svima pod jednakim uvjetima, uključivo i osobama smanjene pokretljivosti</w:t>
      </w:r>
    </w:p>
    <w:p w14:paraId="518A851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65. </w:t>
      </w:r>
      <w:r w:rsidRPr="007E17BF">
        <w:rPr>
          <w:rFonts w:ascii="Times New Roman" w:eastAsia="Times New Roman" w:hAnsi="Times New Roman"/>
          <w:color w:val="231F20"/>
          <w:sz w:val="20"/>
          <w:szCs w:val="20"/>
          <w:bdr w:val="none" w:sz="0" w:space="0" w:color="auto" w:frame="1"/>
          <w:lang w:eastAsia="hr-HR"/>
        </w:rPr>
        <w:t>uređena morska plaža izvan građevinskog područja </w:t>
      </w:r>
      <w:r w:rsidRPr="007E17BF">
        <w:rPr>
          <w:rFonts w:ascii="Times New Roman" w:eastAsia="Times New Roman" w:hAnsi="Times New Roman"/>
          <w:color w:val="231F20"/>
          <w:sz w:val="20"/>
          <w:szCs w:val="20"/>
          <w:lang w:eastAsia="hr-HR"/>
        </w:rPr>
        <w:t>je prostornim planom određena morska plaža očuvanih prirodnih obilježja za koju nije dopuštena promjena obalne crte i koja je pristupačna svima pod jednakim uvjetima. Uređenje morske plaže izvan građevinskog područja podrazumijeva postavljanje pokretnih i montažnih sadržaja koji neće oštetiti prirodne resurse i koji se po završetku kupališne sezone moraju ukloniti s plaže bez posljedica na okoliš, kao i infrastrukturno opremanje putem pristupnog puta, parkirališne površine, opskrbe električnom energijom, vodoopskrbe, odvodnje otpadnih voda, tuševa, sanitarnog čvora, smješteno izvan same plaže u njezinom kontaktnom području</w:t>
      </w:r>
    </w:p>
    <w:p w14:paraId="4A1FABE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66. </w:t>
      </w:r>
      <w:r w:rsidRPr="007E17BF">
        <w:rPr>
          <w:rFonts w:ascii="Times New Roman" w:eastAsia="Times New Roman" w:hAnsi="Times New Roman"/>
          <w:color w:val="231F20"/>
          <w:sz w:val="20"/>
          <w:szCs w:val="20"/>
          <w:bdr w:val="none" w:sz="0" w:space="0" w:color="auto" w:frame="1"/>
          <w:lang w:eastAsia="hr-HR"/>
        </w:rPr>
        <w:t>uvjeti priključenja </w:t>
      </w:r>
      <w:r w:rsidRPr="007E17BF">
        <w:rPr>
          <w:rFonts w:ascii="Times New Roman" w:eastAsia="Times New Roman" w:hAnsi="Times New Roman"/>
          <w:color w:val="231F20"/>
          <w:sz w:val="20"/>
          <w:szCs w:val="20"/>
          <w:lang w:eastAsia="hr-HR"/>
        </w:rPr>
        <w:t xml:space="preserve">su uvjeti za provedbu zahvata u prostoru propisani posebnim propisom u svrhu provedbe tog propisa koji se utvrđuju na način propisan ovim Zakonom, a kojim se uvjetima određuje tehnička mogućnost i tehnički uvjeti priključenja zahvata u prostoru na postojeću niskonaponsku ili </w:t>
      </w:r>
      <w:proofErr w:type="spellStart"/>
      <w:r w:rsidRPr="007E17BF">
        <w:rPr>
          <w:rFonts w:ascii="Times New Roman" w:eastAsia="Times New Roman" w:hAnsi="Times New Roman"/>
          <w:color w:val="231F20"/>
          <w:sz w:val="20"/>
          <w:szCs w:val="20"/>
          <w:lang w:eastAsia="hr-HR"/>
        </w:rPr>
        <w:t>srednjonaponsku</w:t>
      </w:r>
      <w:proofErr w:type="spellEnd"/>
      <w:r w:rsidRPr="007E17BF">
        <w:rPr>
          <w:rFonts w:ascii="Times New Roman" w:eastAsia="Times New Roman" w:hAnsi="Times New Roman"/>
          <w:color w:val="231F20"/>
          <w:sz w:val="20"/>
          <w:szCs w:val="20"/>
          <w:lang w:eastAsia="hr-HR"/>
        </w:rPr>
        <w:t xml:space="preserve"> elektroenergetsku mrežu, građevine javne vodoopskrbe i odvodnje, odvodnju oborinskih voda, prometnu površinu, elektroničke komunikacijske građevine, građevine energetske infrastrukture ili na drugu infrastrukturnu građevinu</w:t>
      </w:r>
    </w:p>
    <w:p w14:paraId="3C13794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67. </w:t>
      </w:r>
      <w:r w:rsidRPr="007E17BF">
        <w:rPr>
          <w:rFonts w:ascii="Times New Roman" w:eastAsia="Times New Roman" w:hAnsi="Times New Roman"/>
          <w:color w:val="231F20"/>
          <w:sz w:val="20"/>
          <w:szCs w:val="20"/>
          <w:bdr w:val="none" w:sz="0" w:space="0" w:color="auto" w:frame="1"/>
          <w:lang w:eastAsia="hr-HR"/>
        </w:rPr>
        <w:t>zahtjevi javnopravnih tijela za izradu prostornih planova </w:t>
      </w:r>
      <w:r w:rsidRPr="007E17BF">
        <w:rPr>
          <w:rFonts w:ascii="Times New Roman" w:eastAsia="Times New Roman" w:hAnsi="Times New Roman"/>
          <w:color w:val="231F20"/>
          <w:sz w:val="20"/>
          <w:szCs w:val="20"/>
          <w:lang w:eastAsia="hr-HR"/>
        </w:rPr>
        <w:t>su prijedlozi, podaci, planske smjernice, propisani dokumenti i drugi akti s kojima javnopravna tijela prema posebnom propisu sudjeluju u izradi prostornog plana ili koji se prema tim propisima koriste u postupku izrade plana, pri čemu moraju uvažavati načela prostornog uređenja određena ovim Zakonom te predmet i ciljeve izrade prostornog plana određene odlukom o izradi</w:t>
      </w:r>
    </w:p>
    <w:p w14:paraId="521FFB3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68. </w:t>
      </w:r>
      <w:r w:rsidRPr="007E17BF">
        <w:rPr>
          <w:rFonts w:ascii="Times New Roman" w:eastAsia="Times New Roman" w:hAnsi="Times New Roman"/>
          <w:color w:val="231F20"/>
          <w:sz w:val="20"/>
          <w:szCs w:val="20"/>
          <w:bdr w:val="none" w:sz="0" w:space="0" w:color="auto" w:frame="1"/>
          <w:lang w:eastAsia="hr-HR"/>
        </w:rPr>
        <w:t>zahvat u prostoru </w:t>
      </w:r>
      <w:r w:rsidRPr="007E17BF">
        <w:rPr>
          <w:rFonts w:ascii="Times New Roman" w:eastAsia="Times New Roman" w:hAnsi="Times New Roman"/>
          <w:color w:val="231F20"/>
          <w:sz w:val="20"/>
          <w:szCs w:val="20"/>
          <w:lang w:eastAsia="hr-HR"/>
        </w:rPr>
        <w:t>je svaka gradnja građevine, rekonstrukcija postojeće građevine i svako drugo privremeno ili trajno djelovanje ljudi u prostoru kojim se uređuje ili mijenja stanje u prostoru</w:t>
      </w:r>
    </w:p>
    <w:p w14:paraId="2FF490A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69. </w:t>
      </w:r>
      <w:r w:rsidRPr="007E17BF">
        <w:rPr>
          <w:rFonts w:ascii="Times New Roman" w:eastAsia="Times New Roman" w:hAnsi="Times New Roman"/>
          <w:color w:val="231F20"/>
          <w:sz w:val="20"/>
          <w:szCs w:val="20"/>
          <w:bdr w:val="none" w:sz="0" w:space="0" w:color="auto" w:frame="1"/>
          <w:lang w:eastAsia="hr-HR"/>
        </w:rPr>
        <w:t>zaštićeno obalno područje </w:t>
      </w:r>
      <w:r w:rsidRPr="007E17BF">
        <w:rPr>
          <w:rFonts w:ascii="Times New Roman" w:eastAsia="Times New Roman" w:hAnsi="Times New Roman"/>
          <w:color w:val="231F20"/>
          <w:sz w:val="20"/>
          <w:szCs w:val="20"/>
          <w:lang w:eastAsia="hr-HR"/>
        </w:rPr>
        <w:t>mora je područje od posebnog interesa za Republiku Hrvatsku, koje obuhvaća jedinice lokalne samouprave čije područje zadire u prostor ograničenja</w:t>
      </w:r>
    </w:p>
    <w:p w14:paraId="545ED25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70. </w:t>
      </w:r>
      <w:r w:rsidRPr="007E17BF">
        <w:rPr>
          <w:rFonts w:ascii="Times New Roman" w:eastAsia="Times New Roman" w:hAnsi="Times New Roman"/>
          <w:color w:val="231F20"/>
          <w:sz w:val="20"/>
          <w:szCs w:val="20"/>
          <w:bdr w:val="none" w:sz="0" w:space="0" w:color="auto" w:frame="1"/>
          <w:lang w:eastAsia="hr-HR"/>
        </w:rPr>
        <w:t>zelena infrastruktura </w:t>
      </w:r>
      <w:r w:rsidRPr="007E17BF">
        <w:rPr>
          <w:rFonts w:ascii="Times New Roman" w:eastAsia="Times New Roman" w:hAnsi="Times New Roman"/>
          <w:color w:val="231F20"/>
          <w:sz w:val="20"/>
          <w:szCs w:val="20"/>
          <w:lang w:eastAsia="hr-HR"/>
        </w:rPr>
        <w:t>su prirodni i planirani sustavi zelenih i vodnih površina te druga prostorna rješenja temeljena na prirodi koja se primjenjuju u planiranju prostora, a kojima se pridonosi očuvanju, poboljšanju i obnavljanju prirode, prirodnih funkcija i procesa radi postizanja ekoloških, gospodarskih i društvenih koristi održivoga razvoja.</w:t>
      </w:r>
    </w:p>
    <w:p w14:paraId="54B8A58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Pojmovi uporabljeni u ovom Zakonu imaju značenje određeno posebnim zakonom kojim se uređuje područje gradnje te drugim posebnim zakonima i podzakonskim propisima koji su od utjecaja na prostorno uređenje, ako ovim Zakonom nije propisano drukčije.</w:t>
      </w:r>
    </w:p>
    <w:p w14:paraId="4AB410C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Izrazi koji u ovom Zakonu imaju rodno značenje odnose se jednako na muške i ženske osobe.</w:t>
      </w:r>
    </w:p>
    <w:p w14:paraId="78F4741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Način izračuna građevinske (bruto) površine zgrade i dijelove podova etaža koji se ne uračunavaju u ovu površinu propisuje ministar pravilnikom.</w:t>
      </w:r>
    </w:p>
    <w:p w14:paraId="74F49197" w14:textId="77777777" w:rsidR="00D2578D" w:rsidRDefault="00D2578D"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551763DC" w14:textId="5A8E97A7" w:rsidR="007E17BF" w:rsidRPr="007E17BF" w:rsidRDefault="007E17BF" w:rsidP="00D2578D">
      <w:pPr>
        <w:pStyle w:val="Naslov3"/>
        <w:rPr>
          <w:lang w:eastAsia="hr-HR"/>
        </w:rPr>
      </w:pPr>
      <w:bookmarkStart w:id="1" w:name="_Toc219166918"/>
      <w:r w:rsidRPr="007E17BF">
        <w:rPr>
          <w:lang w:eastAsia="hr-HR"/>
        </w:rPr>
        <w:t>DIO DRUGI</w:t>
      </w:r>
      <w:r w:rsidR="00D2578D">
        <w:rPr>
          <w:lang w:eastAsia="hr-HR"/>
        </w:rPr>
        <w:t xml:space="preserve">   </w:t>
      </w:r>
      <w:r w:rsidRPr="007E17BF">
        <w:rPr>
          <w:lang w:eastAsia="hr-HR"/>
        </w:rPr>
        <w:t>SUBJEKTI PROSTORNOG UREĐENJA</w:t>
      </w:r>
      <w:bookmarkEnd w:id="1"/>
    </w:p>
    <w:p w14:paraId="7D5EDB57"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Osiguranje učinkovitosti i stručnosti prostornog uređenja</w:t>
      </w:r>
    </w:p>
    <w:p w14:paraId="3B119271"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20.</w:t>
      </w:r>
    </w:p>
    <w:p w14:paraId="2C2BBA0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Učinkovitost prostornog uređenja osiguravaju Hrvatski sabor i Vlada te predstavnička tijela jedinica lokalne i područne (regionalne) samouprave donošenjem prostornih planova te donošenjem odnosno prihvaćanjem drugih dokumenata propisanih ovim Zakonom.</w:t>
      </w:r>
    </w:p>
    <w:p w14:paraId="248BF17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Stručnu utemeljenost planova i dokumenata iz stavka 1. ovoga članka osiguravaju tijela državne uprave, stručna upravna tijela, zavodi i druge pravne osobe registrirane za obavljanje stručnih poslova prostornog uređenja te ovlaštene osobe koje samostalno obavljaju stručne poslove prostornog planiranja.</w:t>
      </w:r>
    </w:p>
    <w:p w14:paraId="27BA2231"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Osiguranje međusobne usklađenosti i provedbe prostornih planova</w:t>
      </w:r>
    </w:p>
    <w:p w14:paraId="2ABE76BD"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21.</w:t>
      </w:r>
    </w:p>
    <w:p w14:paraId="67DDE85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Međusobnu usklađenost prostornih planova, uz tijela, zavode i osobe iz članka 20. stavka 2. ovoga Zakona osigurava Ministarstvo davanjem suglasnosti u skladu s ovim Zakonom.</w:t>
      </w:r>
    </w:p>
    <w:p w14:paraId="4726DD2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Provedbu prostornih planova osiguravaju Ministarstvo i upravna tijela.</w:t>
      </w:r>
    </w:p>
    <w:p w14:paraId="38FEAD3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Osiguranje interesa i potreba posebnih upravnih područja i gospodarstva</w:t>
      </w:r>
    </w:p>
    <w:p w14:paraId="1D4893A4"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22.</w:t>
      </w:r>
    </w:p>
    <w:p w14:paraId="0454C0F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(1) U svrhu osiguranja interesa i potreba posebnih upravnih područja i gospodarstva u prostoru putem sustava prostornog uređenja javnopravna tijela sudjeluju u uspostavi i vođenju informacijskog sustava prostornog uređenja i dostavi podataka za taj sustav na način propisan ovim Zakonom te u izradi prostornih planova izradom o vlastitom </w:t>
      </w:r>
      <w:r w:rsidRPr="007E17BF">
        <w:rPr>
          <w:rFonts w:ascii="Times New Roman" w:eastAsia="Times New Roman" w:hAnsi="Times New Roman"/>
          <w:color w:val="231F20"/>
          <w:sz w:val="20"/>
          <w:szCs w:val="20"/>
          <w:lang w:eastAsia="hr-HR"/>
        </w:rPr>
        <w:lastRenderedPageBreak/>
        <w:t>trošku stručnih podloga potrebnih za izradu prostornih planova propisanih posebnim zakonima i izradom prostornih slojeva u skladu s pravilnikom iz članka 79. stavka 3. ovoga Zakona, davanjem svojih zahtjeva i mišljenja u postupku izrade i donošenja prostornih planova i utvrđivanjem posebnih uvjeta prije odnosno tijekom postupka izdavanja lokacijske dozvole u slučajevima propisanim posebnim propisima, a na način i u postupku propisanom ovim Zakonom.</w:t>
      </w:r>
    </w:p>
    <w:p w14:paraId="427A802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Interesi i potrebe gospodarstva, sigurnosti prostora za kretanje i korištenje te posebnih upravnih područja u sustavu prostornog uređenja osiguravaju se i donošenjem posebnih propisa kojima se uređuje planiranje i projektiranje posebnih vrsta građevina i područja te donošenjem sektorskih strategija, programa, planova, studija i drugih dokumenata propisanih posebnim zakonima u skladu s kojima se utvrđuju zahtjevi za izradu prostornih planova.</w:t>
      </w:r>
    </w:p>
    <w:p w14:paraId="7093C84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Zavod za prostorni razvoj</w:t>
      </w:r>
    </w:p>
    <w:p w14:paraId="707884F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23.</w:t>
      </w:r>
    </w:p>
    <w:p w14:paraId="5A920B1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Stručne poslove prostornog uređenja za Republiku Hrvatsku obavlja Ministarstvo putem nadležne ustrojstvene jedinice – Zavoda za prostorni razvoj.</w:t>
      </w:r>
    </w:p>
    <w:p w14:paraId="2FC13C77"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Poslovi Zavoda za prostorni razvoj</w:t>
      </w:r>
    </w:p>
    <w:p w14:paraId="23396E6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24.</w:t>
      </w:r>
    </w:p>
    <w:p w14:paraId="6D4D691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Poslovi Zavoda za prostorni razvoj obuhvaćaju:</w:t>
      </w:r>
    </w:p>
    <w:p w14:paraId="4DC4907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izradu odnosno koordinaciju izrade i praćenje provedbe Strategije prostornog razvoja Republike Hrvatske, Državnog plana prostornog razvoja, Izvješća o stanju u prostoru i drugih dokumenata prostornog uređenja koje donosi Hrvatski sabor ili Vlada</w:t>
      </w:r>
    </w:p>
    <w:p w14:paraId="08E7C0B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izradu odnosno koordinaciju izrade i suradnju u izradi drugih dokumenata od važnosti za prostorno uređenje i zaštitu prostora Republike Hrvatske</w:t>
      </w:r>
    </w:p>
    <w:p w14:paraId="3DD7D90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sudjelovanje u vođenju, razvoju i upravljanju informacijskog sustava prostornog uređenja</w:t>
      </w:r>
    </w:p>
    <w:p w14:paraId="1CADF17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koordinaciju izrade i praćenje provedbe Arhitektonskih politika Republike Hrvatske</w:t>
      </w:r>
    </w:p>
    <w:p w14:paraId="5815D2E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suradnju s osobama, međunarodnim tijelima, znanstvenim i visokoobrazovnim institucijama i strukovnim udrugama na izradi i provedbi smjernica, programa, planova i projekata iz područja prostornog uređenja, znanstveni rad</w:t>
      </w:r>
    </w:p>
    <w:p w14:paraId="5848ABE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sudjelovanje u provedbi međunarodnih obveza Republike Hrvatske iz područja prostornog uređenja</w:t>
      </w:r>
    </w:p>
    <w:p w14:paraId="76F6A6E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osiguravanje uvjeta za pristup informacijama o prostoru</w:t>
      </w:r>
    </w:p>
    <w:p w14:paraId="6F6E201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8. sudjelovanje u izradi sektorskih strategija, planova, studija i drugih dokumenata državne razine propisanih posebnim zakonima</w:t>
      </w:r>
    </w:p>
    <w:p w14:paraId="6ED3194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9. sudjelovanje u određivanju sadržaja i metodologije prostornog planiranja</w:t>
      </w:r>
    </w:p>
    <w:p w14:paraId="337CC44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10. pripremu i provođenje odnosno koordinaciju pripreme i provođenja natječaja iz područja arhitekture i urbanizma za zahvate od značaja za Republiku Hrvatsku</w:t>
      </w:r>
    </w:p>
    <w:p w14:paraId="5482C6C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11. druge poslove u skladu s ovim Zakonom i posebnim propisima.</w:t>
      </w:r>
    </w:p>
    <w:p w14:paraId="3810010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Zavod za prostorno uređenje županije odnosno Grada Zagreba</w:t>
      </w:r>
    </w:p>
    <w:p w14:paraId="5905443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25.</w:t>
      </w:r>
    </w:p>
    <w:p w14:paraId="3A179CF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Zavodi za prostorno uređenje županija odnosno Grada Zagreba imaju status stručnih institucija od posebnog značaja za prostorno uređenje Republike Hrvatske s ključnom ulogom u planiranju, usklađivanju i provedbi razvojnih i prostorno-planskih politika te kontinuiranom praćenju, analizi stanja i usklađivanju prostornih planova unutar županije odnosno Grada Zagreba.</w:t>
      </w:r>
    </w:p>
    <w:p w14:paraId="36ECC00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Poslovi i osnivanje zavoda za prostorno uređenje županije odnosno Grada Zagreba</w:t>
      </w:r>
    </w:p>
    <w:p w14:paraId="338F139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26.</w:t>
      </w:r>
    </w:p>
    <w:p w14:paraId="12EFACA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Stručne poslove prostornog uređenja za županiju odnosno Grad Zagreb obavlja zavod za prostorno uređenje županije odnosno Grada Zagreba.</w:t>
      </w:r>
    </w:p>
    <w:p w14:paraId="0FBE3A0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Osnivač zavoda za prostorno uređenje županije je županija, a osnivačka prava ostvaruje župan u skladu s posebnim zakonom.</w:t>
      </w:r>
    </w:p>
    <w:p w14:paraId="0FC44E4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Osnivač zavoda za prostorno uređenje Grada Zagreba je Grad Zagreb, a osnivačka prava ostvaruje gradonačelnik u skladu s posebnim zakonom.</w:t>
      </w:r>
    </w:p>
    <w:p w14:paraId="78FC7ED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Zavod za prostorno uređenje županije odnosno Grada Zagreba osniva se kao javna ustanova s pravima i odgovornostima propisanim ovim Zakonom.</w:t>
      </w:r>
    </w:p>
    <w:p w14:paraId="099AF80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Ravnatelja zavoda za prostorno uređenje županije odnosno Grada Zagreba imenuje i razrješava osnivač uz prethodnu suglasnost Ministarstva.</w:t>
      </w:r>
    </w:p>
    <w:p w14:paraId="1929795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Za vrijeme obnašanja dužnosti ravnatelji zavoda za prostorno uređenje županije odnosno Grada Zagreba imaju pravo na plaću te ostala materijalna i druga prava iz radnog odnosa u skladu s općim aktima javne ustanove.</w:t>
      </w:r>
    </w:p>
    <w:p w14:paraId="671FACF4" w14:textId="77777777" w:rsid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Na prava i obveze ravnatelja zavoda za prostorno uređenje županije odnosno Grada Zagreba koje nisu utvrđene ovim Zakonom ili općim aktima javne ustanove primjenjuje se zakon kojim se uređuje sprječavanje sukoba interesa.</w:t>
      </w:r>
    </w:p>
    <w:p w14:paraId="4032E5A8" w14:textId="77777777" w:rsidR="00D2578D" w:rsidRPr="007E17BF"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453B040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Djelatnost zavoda za prostorno uređenje županije odnosno Grada Zagreba</w:t>
      </w:r>
    </w:p>
    <w:p w14:paraId="04155B6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27.</w:t>
      </w:r>
    </w:p>
    <w:p w14:paraId="42604B5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Djelatnost zavoda za prostorno uređenje županije odnosno Grada Zagreba obuhvaća:</w:t>
      </w:r>
    </w:p>
    <w:p w14:paraId="033843E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izradu odnosno koordinaciju izrade i praćenje provedbe prostornih planova područne (regionalne) razine odnosno razine Grada Zagreba</w:t>
      </w:r>
    </w:p>
    <w:p w14:paraId="20916D8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sudjelovanje u izradi Državnog plana prostornog razvoja za područje županije odnosno Grada Zagreba</w:t>
      </w:r>
    </w:p>
    <w:p w14:paraId="0622A20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izradu prostornog plana uređenja grada i općine i generalnog urbanističkog plana na svom području ako isti ne izrađuje zavod za prostorno uređenje grada ili druga ovlaštena osoba za izradu prostornih planova</w:t>
      </w:r>
    </w:p>
    <w:p w14:paraId="79AE4E1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izradu izvješća o stanju u prostoru na svom području</w:t>
      </w:r>
    </w:p>
    <w:p w14:paraId="2EF7A67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vođenje informacijskog sustava prostornog uređenja na svom području i upravljanje njime u okviru njegovih ovlasti</w:t>
      </w:r>
    </w:p>
    <w:p w14:paraId="6DBB28A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pripremu stručnih podloga i polazišta za izradu odnosno stavljanje izvan snage prostornih planova na svom području ako isto ne radi zavod za prostorno uređenje grada ili druga ovlaštena osoba za izradu prostornih planova</w:t>
      </w:r>
    </w:p>
    <w:p w14:paraId="4012A82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pružanje stručne savjetodavne pomoći u izradi prostornih planova lokalne razine</w:t>
      </w:r>
    </w:p>
    <w:p w14:paraId="26CA40E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8. druge poslove u skladu s ovim Zakonom i statutom zavoda.</w:t>
      </w:r>
    </w:p>
    <w:p w14:paraId="3827C79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Zavodi iz stavka 1. ovoga članka mogu izrađivati i sudjelovati u izradi dokumenata prostornog uređenja državne razine.</w:t>
      </w:r>
    </w:p>
    <w:p w14:paraId="69219DA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Zavodi iz stavka 1. ovoga članka mogu obavljati stručne analitičke poslove iz područja prostornog uređenja, ako to zatraži Ministarstvo.</w:t>
      </w:r>
    </w:p>
    <w:p w14:paraId="49A95A9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Zavod za prostorno uređenje grada</w:t>
      </w:r>
    </w:p>
    <w:p w14:paraId="01064887"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28.</w:t>
      </w:r>
    </w:p>
    <w:p w14:paraId="6919107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Grad može u svrhu obavljanja stručnih poslova prostornog uređenja osnovati zavod za prostorno uređenje grada za svoje područje ako za to postoji potreba i ako se za to mogu osigurati sredstva u njegovu proračunu.</w:t>
      </w:r>
    </w:p>
    <w:p w14:paraId="0198E87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Djelatnost zavoda za prostorno uređenje grada</w:t>
      </w:r>
    </w:p>
    <w:p w14:paraId="621AF69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29.</w:t>
      </w:r>
    </w:p>
    <w:p w14:paraId="3F73FFF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Djelatnost zavoda za prostorno uređenje grada obuhvaća:</w:t>
      </w:r>
    </w:p>
    <w:p w14:paraId="6030642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izradu odnosno koordinaciju izrade i praćenje provedbe prostornog plana uređenja grada i generalnog urbanističkog plana</w:t>
      </w:r>
    </w:p>
    <w:p w14:paraId="3B7E09F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praćenje provedbe dokumenata prostornog uređenja koji se primjenjuju unutar teritorija tog grada</w:t>
      </w:r>
    </w:p>
    <w:p w14:paraId="6D507F7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izradu izvješća o stanju u prostoru na svom području</w:t>
      </w:r>
    </w:p>
    <w:p w14:paraId="4436464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vođenje informacijskog sustava prostornog uređenja na svom području i upravljanje njime u okviru njegovih ovlasti</w:t>
      </w:r>
    </w:p>
    <w:p w14:paraId="7131FF9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pripremu stručnih podloga i polazišta za izradu odnosno stavljanje izvan snage prostornih planova na svom području.</w:t>
      </w:r>
    </w:p>
    <w:p w14:paraId="2627CEE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Zavod za prostorno uređenje grada može izrađivati urbanistički plan uređenja za svoje područje te obavljati stručne analitičke poslove iz područja prostornog uređenja, ako to zatraži gradonačelnik.</w:t>
      </w:r>
    </w:p>
    <w:p w14:paraId="6039357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Ako grad nema osnovan zavod za prostorno uređenje, poslove iz stavka 1. ovoga članka mogu obavljati ovlaštene osobe za izradu prostornih planova iz članka 30. ovoga Zakona, ako to zatraži gradonačelnik.</w:t>
      </w:r>
    </w:p>
    <w:p w14:paraId="0DC5870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Ovlaštene osobe za izradu prostornih planova</w:t>
      </w:r>
    </w:p>
    <w:p w14:paraId="6DDACF9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30.</w:t>
      </w:r>
    </w:p>
    <w:p w14:paraId="7E5BCEB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Nacrte prijedloga i nacrte konačnih prijedloga prostornih planova i druge stručne poslove prostornog uređenja može izrađivati odnosno obavljati ovlaštena osoba za izradu prostornih planova pod uvjetom da ispunjava uvjete za obavljanje poslova prostornog uređenja propisane posebnim zakonom te osigura sudjelovanje potrebnih stručnjaka iz stavka 2. ovoga članka.</w:t>
      </w:r>
    </w:p>
    <w:p w14:paraId="2315448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Ovlaštena osoba iz stavka 1. ovoga članka dužna je za potrebe izrade pojedinog prostornog plana, ovisno o njegovu sadržaju složenosti, osigurati sudjelovanje ovlaštenog arhitekta urbanista kao odgovornog voditelja, ovlaštenih osoba iz pojedinih stručnih područja, stručnjaka različitih struka u svojstvu suradnika iz područja prostornog uređenja, urbanizma, arhitekture i graditeljstva, geodezije, geografije, krajobraza, zaštite okoliša i prirode, zaštite kulturne baštine, zaštite zdravlja ljudi, vodnoga gospodarstva, prometnih sustava i sigurnosti prometa, elektroenergetike, elektroničke komunikacijske infrastrukture i druge povezane opreme te druge javne infrastrukture, društvenih djelatnosti kao što su pravo, sociologija i ekonomija, poljoprivrede, šumarstva i druge stručnjake iz relevantnih područja koji sudjeluju u izradi i donošenju određenog prostornog plana pod uvjetima i na način propisan pravilnikom iz članka 79. stavka 3. ovoga Zakona.</w:t>
      </w:r>
    </w:p>
    <w:p w14:paraId="01F2BC0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Ovlaštene osobe iz stavka 1. ovoga članka odgovorne su za stručna rješenja u prostornom planu i za svoj rad odgovaraju prekršajno i materijalno.</w:t>
      </w:r>
    </w:p>
    <w:p w14:paraId="75395D0A" w14:textId="77777777" w:rsidR="00D2578D" w:rsidRDefault="00D2578D"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5C2F14CD" w14:textId="77777777" w:rsidR="00D2578D" w:rsidRDefault="00D2578D"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7FC6B311" w14:textId="77777777" w:rsidR="00D2578D" w:rsidRDefault="00D2578D"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5822EE04" w14:textId="05952E7E" w:rsidR="007E17BF" w:rsidRPr="007E17BF" w:rsidRDefault="007E17BF" w:rsidP="00D2578D">
      <w:pPr>
        <w:pStyle w:val="Naslov3"/>
        <w:rPr>
          <w:lang w:eastAsia="hr-HR"/>
        </w:rPr>
      </w:pPr>
      <w:bookmarkStart w:id="2" w:name="_Toc219166919"/>
      <w:r w:rsidRPr="007E17BF">
        <w:rPr>
          <w:lang w:eastAsia="hr-HR"/>
        </w:rPr>
        <w:lastRenderedPageBreak/>
        <w:t>DIO TREĆI</w:t>
      </w:r>
      <w:r w:rsidR="00D2578D">
        <w:rPr>
          <w:lang w:eastAsia="hr-HR"/>
        </w:rPr>
        <w:t xml:space="preserve">    </w:t>
      </w:r>
      <w:r w:rsidRPr="007E17BF">
        <w:rPr>
          <w:lang w:eastAsia="hr-HR"/>
        </w:rPr>
        <w:t>PRAĆENJE STANJA U PROSTORU I PODRUČJU PROSTORNOG UREĐENJA</w:t>
      </w:r>
      <w:bookmarkEnd w:id="2"/>
    </w:p>
    <w:p w14:paraId="4F11FB2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Informacijski sustav prostornog uređenja</w:t>
      </w:r>
    </w:p>
    <w:p w14:paraId="7FDBEC2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31.</w:t>
      </w:r>
    </w:p>
    <w:p w14:paraId="32FF020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Za potrebe izrade, donošenja, provedbe i nadzora prostornih planova, trajnog praćenja stanja u prostoru u području prostornog uređenja, izrade izvješća o stanju u prostoru te evidentiranje akata za provedbu, u skladu s ovim Zakonom i drugim propisima, uspostavlja se i vodi informacijski sustav prostornog uređenja (u daljnjem tekstu: informacijski sustav).</w:t>
      </w:r>
    </w:p>
    <w:p w14:paraId="7BFDEEE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(2) Informacijski sustav uspostavlja se i vodi kao </w:t>
      </w:r>
      <w:proofErr w:type="spellStart"/>
      <w:r w:rsidRPr="007E17BF">
        <w:rPr>
          <w:rFonts w:ascii="Times New Roman" w:eastAsia="Times New Roman" w:hAnsi="Times New Roman"/>
          <w:color w:val="231F20"/>
          <w:sz w:val="20"/>
          <w:szCs w:val="20"/>
          <w:lang w:eastAsia="hr-HR"/>
        </w:rPr>
        <w:t>interoperabilni</w:t>
      </w:r>
      <w:proofErr w:type="spellEnd"/>
      <w:r w:rsidRPr="007E17BF">
        <w:rPr>
          <w:rFonts w:ascii="Times New Roman" w:eastAsia="Times New Roman" w:hAnsi="Times New Roman"/>
          <w:color w:val="231F20"/>
          <w:sz w:val="20"/>
          <w:szCs w:val="20"/>
          <w:lang w:eastAsia="hr-HR"/>
        </w:rPr>
        <w:t xml:space="preserve"> i </w:t>
      </w:r>
      <w:proofErr w:type="spellStart"/>
      <w:r w:rsidRPr="007E17BF">
        <w:rPr>
          <w:rFonts w:ascii="Times New Roman" w:eastAsia="Times New Roman" w:hAnsi="Times New Roman"/>
          <w:color w:val="231F20"/>
          <w:sz w:val="20"/>
          <w:szCs w:val="20"/>
          <w:lang w:eastAsia="hr-HR"/>
        </w:rPr>
        <w:t>multiplatformni</w:t>
      </w:r>
      <w:proofErr w:type="spellEnd"/>
      <w:r w:rsidRPr="007E17BF">
        <w:rPr>
          <w:rFonts w:ascii="Times New Roman" w:eastAsia="Times New Roman" w:hAnsi="Times New Roman"/>
          <w:color w:val="231F20"/>
          <w:sz w:val="20"/>
          <w:szCs w:val="20"/>
          <w:lang w:eastAsia="hr-HR"/>
        </w:rPr>
        <w:t xml:space="preserve"> sustav u kojem se povezuju informacijski sustavi pojedinih javnopravnih tijela koja na temelju ovoga Zakona i posebnih propisa izrađuju i/ili održavaju prostorne podatke i druge podatke značajne za prostorno uređenje.</w:t>
      </w:r>
    </w:p>
    <w:p w14:paraId="57C319B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Podaci u informacijskom sustavu moraju biti zaštićeni odgovarajućom enkripcijom visoke razine te su dostupni registriranim korisnicima, ako nemaju povjerljivi značaj propisan u posebnom zakonu.</w:t>
      </w:r>
    </w:p>
    <w:p w14:paraId="72BF516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Tijela koja vode informacijske sustave iz područja svoje nadležnosti osiguravaju interoperabilnost baza podataka i usluga vezanih za prostorne podatke potrebne za vođenje postupaka sukladno ovom Zakonu.</w:t>
      </w:r>
    </w:p>
    <w:p w14:paraId="30A201C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Radi vođenja informacijskog sustava i osiguranja interoperabilnosti Ministarstvo može s tijelima iz stavka 4. ovoga članka sklopiti sporazum kojim se pobliže utvrđuju međusobna prava i obveze, pravila pristupa odnosno razmjene i korištenja podataka, korištenje mrežnih usluga i druga pitanja.</w:t>
      </w:r>
    </w:p>
    <w:p w14:paraId="522A2B5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Razmjena podataka iz stavka 5. ovoga članka provodi se putem državne informacijske infrastrukture i Središnjeg sustava interoperabilnosti, sukladno zakonu kojim se uređuje državna informacijska infrastruktura.</w:t>
      </w:r>
    </w:p>
    <w:p w14:paraId="36CDADD4"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Obuhvat podataka informacijskog sustava</w:t>
      </w:r>
    </w:p>
    <w:p w14:paraId="0B92763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32.</w:t>
      </w:r>
    </w:p>
    <w:p w14:paraId="0CCDA11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Informacijski sustav obuhvaća podatke o:</w:t>
      </w:r>
    </w:p>
    <w:p w14:paraId="47A93D3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postojećem stanju i korištenju prostora, uključujući i podatke o nekretninama</w:t>
      </w:r>
    </w:p>
    <w:p w14:paraId="429EC66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područjima posebne zaštite voda te rezervacije, ograničenja i zabrane korištenja sukladno propisima o vodama</w:t>
      </w:r>
    </w:p>
    <w:p w14:paraId="602EC35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prostornim planovima i prostornim planovima čija je izrada i donošenje u tijeku</w:t>
      </w:r>
    </w:p>
    <w:p w14:paraId="7D09FEC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namjeni prostora/površina i drugim uvjetima korištenja i zaštite prostora određenima i propisanima prostornim planovima i posebnim propisima</w:t>
      </w:r>
    </w:p>
    <w:p w14:paraId="0381293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smjernicama, zahtjevima i upravnim i drugim aktima nadležnih javnopravnih tijela koji se izdaju i koji su izdani i doneseni u svrhu učinkovite i kvalitetne provedbe prostornih planova, građenja, uporabe i uklanjanja građevina</w:t>
      </w:r>
    </w:p>
    <w:p w14:paraId="0D17BB2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sektorskim strategijama, planovima, studijama i drugim dokumentima propisanim posebnim zakonima značajnim za prostorno uređenje</w:t>
      </w:r>
    </w:p>
    <w:p w14:paraId="62730D7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izgrađenim infrastrukturnim građevinama i sustavima</w:t>
      </w:r>
    </w:p>
    <w:p w14:paraId="72D8BA0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8. nekretninama i vlasništvu</w:t>
      </w:r>
    </w:p>
    <w:p w14:paraId="7F65FEB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9. koncesijama</w:t>
      </w:r>
    </w:p>
    <w:p w14:paraId="06EA116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10. prostornim slojevima značajnim za prostorno uređenje koje su izradila javnopravna tijela prema posebnim propisima</w:t>
      </w:r>
    </w:p>
    <w:p w14:paraId="5CAA11D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11. evidenciji pravomoćnih rješenja o uklanjanju.</w:t>
      </w:r>
    </w:p>
    <w:p w14:paraId="037BC0F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Akti o podacima iz stavka 1. točke 4. ovoga članka imaju snagu javne isprave.</w:t>
      </w:r>
    </w:p>
    <w:p w14:paraId="3DA5DB35"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Subjekti informacijskog sustava</w:t>
      </w:r>
    </w:p>
    <w:p w14:paraId="1ED74B2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33.</w:t>
      </w:r>
    </w:p>
    <w:p w14:paraId="446C162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Informacijski sustav uspostavlja i razvija Ministarstvo.</w:t>
      </w:r>
    </w:p>
    <w:p w14:paraId="0199B17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Evidenciju prostornih planova županijske i lokalne razine unutar informacijskog sustava vode zavodi, a koordinira Zavod za prostorni razvoj.</w:t>
      </w:r>
    </w:p>
    <w:p w14:paraId="003A65B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Evidenciju prostornih planova državne razine unutar informacijskog sustava vodi Zavod za prostorni razvoj.</w:t>
      </w:r>
    </w:p>
    <w:p w14:paraId="5B5D19D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Dostupnost podataka informacijskog sustava</w:t>
      </w:r>
    </w:p>
    <w:p w14:paraId="1DB6065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34.</w:t>
      </w:r>
    </w:p>
    <w:p w14:paraId="6B1E1DE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Ministarstvo, zavodi, upravna tijela, stručna upravna tijela i druga javnopravna tijela dužni su podatke značajne za prostorno uređenje kojima raspolažu učiniti dostupnima putem informacijskog sustava na način propisan ovim Zakonom.</w:t>
      </w:r>
    </w:p>
    <w:p w14:paraId="7D6D3E9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Javnopravna tijela dužna su podatke o postojećem stanju, načinu i uvjetima korištenja i zaštite prostora, kao i podatke o ograničenju korištenja i zabrani gradnje na određenim područjima te druge podatke značajne za prostorno uređenje kojima raspolažu učiniti dostupnima putem informacijskog sustava:</w:t>
      </w:r>
    </w:p>
    <w:p w14:paraId="6308133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1. uspostavom mrežnih usluga ili drugih načina razmjene podataka prema OGC standardima te omogućavanjem njihova korištenja u informacijskom sustavu odnosno njegovim modulima</w:t>
      </w:r>
    </w:p>
    <w:p w14:paraId="47D6A49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dostavom podataka potrebnih za uspostavu i vođenje informacijskog sustava u propisanom obliku.</w:t>
      </w:r>
    </w:p>
    <w:p w14:paraId="1073F1E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Ministarstvo, zavodi, upravna tijela, stručna upravna tijela i druga javnopravna tijela nemaju pravo na naknadu za dostavljene podatke niti za omogućavanje korištenja podataka iz stavaka 1. i 2. ovoga članka.</w:t>
      </w:r>
    </w:p>
    <w:p w14:paraId="4B139FE7"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Javnost podataka informacijskog sustava</w:t>
      </w:r>
    </w:p>
    <w:p w14:paraId="4AEA463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35.</w:t>
      </w:r>
    </w:p>
    <w:p w14:paraId="1894C25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Podaci u informacijskom sustavu su javni ako nemaju povjerljivo značenje sukladno posebnom zakonu odnosno ako ne predstavljaju kritičnu infrastrukturu i infrastrukturu od državnog značaja.</w:t>
      </w:r>
    </w:p>
    <w:p w14:paraId="1DF1327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Svatko ima u skladu sa zakonom pravo na uvid i pribavljanje podataka iz informacijskog sustava koji nemaju povjerljivo značenje.</w:t>
      </w:r>
    </w:p>
    <w:p w14:paraId="4929E06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Nositelj izrade prostornog plana (u daljnjem tekstu: nositelj izrade) i stručni izrađivač prostornog plana koriste i preuzimaju podatke iz informacijskog sustava bez naknade.</w:t>
      </w:r>
    </w:p>
    <w:p w14:paraId="66930C8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Uredba o informacijskom sustavu</w:t>
      </w:r>
    </w:p>
    <w:p w14:paraId="3254CF4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36.</w:t>
      </w:r>
    </w:p>
    <w:p w14:paraId="7AA13CD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Strukturu, sadržaj, način rada, oblik i elektronički standard informacijskog sustava te način vođenja i upravljanja informacijskim sustavom Ministarstva, zavoda, upravnih tijela i stručnih upravnih tijela u vezi s informacijskim sustavom te javnopravna tijela i stručne izrađivače prostornih planova koji su prostorne i druge podatke dužni učiniti dostupnima putem informacijskog sustava i način na koji su to dužni učiniti, propisuje Vlada uredbom.</w:t>
      </w:r>
    </w:p>
    <w:p w14:paraId="16A7368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Lokacijska informacija</w:t>
      </w:r>
    </w:p>
    <w:p w14:paraId="27E4BF94"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37.</w:t>
      </w:r>
    </w:p>
    <w:p w14:paraId="0D964A0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 svrhu upoznavanja s namjenom prostora i uvjetima provedbe zahvata u prostoru iz prostornih planova na određenom zemljištu putem informacijskog sustava može se izraditi lokacijska informacija elektroničkim putem.</w:t>
      </w:r>
    </w:p>
    <w:p w14:paraId="59A2263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Na području za koje nije donesen prostorni plan nove generacije upravno tijelo na čijem se području nalazi zemljište, po zahtjevu zainteresirane osobe, izdaje lokacijsku informaciju u roku od 15 dana od dana podnošenja zahtjeva.</w:t>
      </w:r>
    </w:p>
    <w:p w14:paraId="3CA1C12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U zahtjevu za izdavanje lokacijske informacije iz stavka 2. ovoga članka navodi se ime, prezime i adresa odnosno tvrtka i sjedište podnositelja zahtjeva te katastarska oznaka najviše pet katastarskih čestica za koje se traži izdavanje informacije.</w:t>
      </w:r>
    </w:p>
    <w:p w14:paraId="247B206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Lokacijska informacija izdaje se u elektroničkom obliku za zemljište navedeno u zahtjevu, a iznimno u fizičkom obliku ako se radi o zemljištu koje se nalazi na području gdje nije donesen plan nove generacije.</w:t>
      </w:r>
    </w:p>
    <w:p w14:paraId="2297BEB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Lokacijska informacija sadrži dijelove odredbi za provedbu zahvata na zemljištu naznačenom u zahtjevu iz stavka 2. ovoga članka iz važećih prostornih planova svih razina.</w:t>
      </w:r>
    </w:p>
    <w:p w14:paraId="327CCA3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Lokacijska informacija sadrži i napomenu da se na temelju iste ne može pristupiti provedbi zahvata u prostoru niti izradi projekata propisanih posebnim zakonom.</w:t>
      </w:r>
    </w:p>
    <w:p w14:paraId="7865DE31"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Pristup podacima o nekretninama i vlasništvu</w:t>
      </w:r>
    </w:p>
    <w:p w14:paraId="7709EB91"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38.</w:t>
      </w:r>
    </w:p>
    <w:p w14:paraId="529F1DE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Ministarstvo, jedinice lokalne i područne (regionalne) samouprave, zavod i pravne osobe s javnim ovlastima pri obavljanju poslova iz svoje nadležnosti imaju pravo uvida i pribavljanja podataka iz baza podataka i uspostavljenih servisa katastra i zemljišnih knjiga, sukladno posebnim propisima kojima se uređuje servis katastra i zemljišnih knjiga.</w:t>
      </w:r>
    </w:p>
    <w:p w14:paraId="3D4BD78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Izvješće o stanju u prostoru</w:t>
      </w:r>
    </w:p>
    <w:p w14:paraId="21973181"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39.</w:t>
      </w:r>
    </w:p>
    <w:p w14:paraId="4052D9D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Hrvatski sabor odnosno predstavnička tijela jedinica lokalne i područne (regionalne) samouprave, svaki za svoju razinu, razmatraju izvješće o stanju u prostoru za razdoblje ne duže od šest godina, te o razmatranju donose zaključak.</w:t>
      </w:r>
    </w:p>
    <w:p w14:paraId="457BB48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Izvješće o stanju u prostoru za razinu jedinice lokalne samouprave izrađuje stručno upravno tijelo jedinice lokalne samouprave, ako ovim Zakonom nije propisano drukčije.</w:t>
      </w:r>
    </w:p>
    <w:p w14:paraId="35C91AA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U izradi izvješća o stanju u prostoru dužna su, na zahtjev zavoda odnosno stručnog upravnog tijela koje izrađuje izvješće, sudjelovati javnopravna tijela u čijem je djelokrugu obavljanje poslova od utjecaja na sadržaj izvješća.</w:t>
      </w:r>
    </w:p>
    <w:p w14:paraId="7F0F2A7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Nacrt izvješća odnosno njegova dijela, osim zavoda, na svim razinama može izrađivati ovlaštena osoba koja ispunjava uvjete za obavljanje poslova prostornog uređenja propisanih posebnim zakonom.</w:t>
      </w:r>
    </w:p>
    <w:p w14:paraId="03DCF5D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Sadržaj i karakter izvješća o stanju u prostoru</w:t>
      </w:r>
    </w:p>
    <w:p w14:paraId="4ED1090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40.</w:t>
      </w:r>
    </w:p>
    <w:p w14:paraId="445376E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(1) Izvješće o stanju u prostoru sadrži polazišta, analizu i ocjenu stanja i trendova prostornog razvoja, analizu provedbe prostornih planova i drugih dokumenata koji utječu na prostor te prijedloge za unaprjeđenje prostornog razvoja s </w:t>
      </w:r>
      <w:r w:rsidRPr="007E17BF">
        <w:rPr>
          <w:rFonts w:ascii="Times New Roman" w:eastAsia="Times New Roman" w:hAnsi="Times New Roman"/>
          <w:color w:val="231F20"/>
          <w:sz w:val="20"/>
          <w:szCs w:val="20"/>
          <w:lang w:eastAsia="hr-HR"/>
        </w:rPr>
        <w:lastRenderedPageBreak/>
        <w:t>osnovnim preporukama mjera za iduće razdoblje, a osobito prioritete za izradu prostornih planova i opremanja građevinskog zemljišta s indikativnim rokovima.</w:t>
      </w:r>
    </w:p>
    <w:p w14:paraId="510477D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Izvješće o stanju u prostoru Republike Hrvatske je stručna podloga za izradu prostornih planova državne razine.</w:t>
      </w:r>
    </w:p>
    <w:p w14:paraId="3375843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Izvješće o stanju u prostoru za razinu jedinice lokalne i područne (regionalne) samouprave je stručna podloga za izradu prostornih planova na njihovu području.</w:t>
      </w:r>
    </w:p>
    <w:p w14:paraId="3E5DEC0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Sadržaj izvješća, obvezne prostorne pokazatelje, način sudjelovanja javnopravnih tijela u izradi izvješća i druge zahtjeve u vezi s praćenjem stanja u području prostornog uređenja propisuje ministar pravilnikom.</w:t>
      </w:r>
    </w:p>
    <w:p w14:paraId="34357FC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Objava i dostava izvješća o stanju u prostoru</w:t>
      </w:r>
    </w:p>
    <w:p w14:paraId="03747D1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41.</w:t>
      </w:r>
    </w:p>
    <w:p w14:paraId="26F0B0B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Zaključak o razmatranju izvješća o stanju u prostoru i izvješće o stanju u prostoru objavljuju se u »Narodnim novinama« odnosno u službenom glasilu jedinica lokalne i područne (regionalne) samouprave.</w:t>
      </w:r>
    </w:p>
    <w:p w14:paraId="7AB8BEB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Jedinica lokalne i područne (regionalne) samouprave dužna je u roku od 15 dana od dana njihove objave u službenom glasilu dostaviti zaključak i izvješće iz stavka 1. ovoga članka u elektroničkom obliku nadležnom zavodu na njezinu području.</w:t>
      </w:r>
    </w:p>
    <w:p w14:paraId="1C784E1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Nadležni zavod unosi podatke i objavljuje izvješće u informacijskom sustavu.</w:t>
      </w:r>
    </w:p>
    <w:p w14:paraId="4E588E6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Stručne podloge</w:t>
      </w:r>
    </w:p>
    <w:p w14:paraId="365C4BF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42.</w:t>
      </w:r>
    </w:p>
    <w:p w14:paraId="0DDB9D0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Stručne podloge su dokumenti i studije koje obuhvaćaju analizu postojećeg i planiranog stanja u područjima od značaja za prostorno uređenje (demografske, gospodarske, prometno-sigurnosne, ekološke, okolišne i prirodne, geološke i hidrološke, energetske, kulturno-povijesne, urbanističko-arhitektonske, krajobrazne osnove i druge stručne podloge), kao i područja ograničenja i zabrane gradnje, područja provedbe mjera za smanjenje rizika koje je potrebno uzeti u obzir pri izradi prostornih planova te izračune postojećeg i planiranog kapaciteta i opterećenja pojedinog područja, čija obveza izrade u ovisnosti o vrsti i razini prostornog plana proizlazi iz obveza i pravila pojedinih stručnih područja.</w:t>
      </w:r>
    </w:p>
    <w:p w14:paraId="3D22C10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Karte rizika obvezno se izrađuju kao stručna podloga ako se radi o području određenom kao visokorizično za određenu vrstu rizika utvrđenu prema Procjeni rizika od katastrofa, a određuju se na temelju prethodnih znanstveno-stručnih istraživanja koja obuhvaćaju potresni rizik i ostale potresom inducirane pojave, poplavnu ugroženost, rizike od velikih nesreća i druge rizike iz Procjene rizika od katastrofa za Republiku Hrvatsku.</w:t>
      </w:r>
    </w:p>
    <w:p w14:paraId="7954BE1A" w14:textId="77777777" w:rsid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Postojeće stručne podloge javnopravna tijela dužna su staviti na raspolaganje putem informacijskog sustava ili im osigurati pristup na odgovarajući način te ih po potrebi i ažurirati.</w:t>
      </w:r>
    </w:p>
    <w:p w14:paraId="74A54081" w14:textId="77777777" w:rsidR="00D2578D" w:rsidRPr="007E17BF"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5B763611" w14:textId="77777777" w:rsidR="00D2578D" w:rsidRDefault="00D2578D"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430DD5FE" w14:textId="621A8BB9" w:rsidR="007E17BF" w:rsidRPr="007E17BF" w:rsidRDefault="007E17BF" w:rsidP="00D2578D">
      <w:pPr>
        <w:pStyle w:val="Naslov3"/>
        <w:rPr>
          <w:lang w:eastAsia="hr-HR"/>
        </w:rPr>
      </w:pPr>
      <w:bookmarkStart w:id="3" w:name="_Toc219166920"/>
      <w:r w:rsidRPr="007E17BF">
        <w:rPr>
          <w:lang w:eastAsia="hr-HR"/>
        </w:rPr>
        <w:t>DIO ČETVRTI</w:t>
      </w:r>
      <w:r w:rsidR="00D2578D">
        <w:rPr>
          <w:lang w:eastAsia="hr-HR"/>
        </w:rPr>
        <w:t xml:space="preserve">   </w:t>
      </w:r>
      <w:r w:rsidRPr="007E17BF">
        <w:rPr>
          <w:lang w:eastAsia="hr-HR"/>
        </w:rPr>
        <w:t>UVJETI PLANIRANJA PROSTORA</w:t>
      </w:r>
      <w:bookmarkEnd w:id="3"/>
    </w:p>
    <w:p w14:paraId="04D75681" w14:textId="38D5A216" w:rsidR="007E17BF" w:rsidRPr="007E17BF" w:rsidRDefault="007E17BF" w:rsidP="00D2578D">
      <w:pPr>
        <w:pStyle w:val="Naslov4"/>
        <w:rPr>
          <w:lang w:eastAsia="hr-HR"/>
        </w:rPr>
      </w:pPr>
      <w:bookmarkStart w:id="4" w:name="_Toc219166921"/>
      <w:r w:rsidRPr="007E17BF">
        <w:rPr>
          <w:lang w:eastAsia="hr-HR"/>
        </w:rPr>
        <w:t>GLAVA I.</w:t>
      </w:r>
      <w:r w:rsidR="00D2578D">
        <w:rPr>
          <w:lang w:eastAsia="hr-HR"/>
        </w:rPr>
        <w:t xml:space="preserve">   </w:t>
      </w:r>
      <w:r w:rsidRPr="007E17BF">
        <w:rPr>
          <w:lang w:eastAsia="hr-HR"/>
        </w:rPr>
        <w:t>PLANIRANJE U GRAĐEVINSKIM PODRUČJIMA</w:t>
      </w:r>
      <w:bookmarkEnd w:id="4"/>
    </w:p>
    <w:p w14:paraId="541E558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Općenito</w:t>
      </w:r>
    </w:p>
    <w:p w14:paraId="2AC4CF07"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43.</w:t>
      </w:r>
    </w:p>
    <w:p w14:paraId="5B46F9F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Građevinska područja određuju se radi razgraničenja od ostalih površina namijenjenih razvoju poljoprivrede i šumarstva, površina mora i voda, kao i drugih planskih kategorija koje se s obzirom na svoju namjenu mogu planirati izvan građevinskih područja.</w:t>
      </w:r>
    </w:p>
    <w:p w14:paraId="4CF12C7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Građevinska područja određuju se primarno prostornim planom uređenja grada odnosno općine i Prostornim planom Grada Zagreba, a mogu se određivati i Državnim planom prostornog razvoja, prostornim planom područja posebnih obilježja i prostornim planom županije u slučajevima i na način propisan ovim Zakonom.</w:t>
      </w:r>
    </w:p>
    <w:p w14:paraId="5B4384A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Građevinska područja, utvrđena prostornim planom uređenja grada odnosno općine, na kojima su izgrađene građevine i komunalna infrastruktura ne mogu se ukinuti prostornim planovima više razine, osim u slučajevima kada tako zahtijeva planiranje infrastrukturnih zahvata od državnog i županijskog značaja.</w:t>
      </w:r>
    </w:p>
    <w:p w14:paraId="4844058E" w14:textId="77777777" w:rsid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Pri određivanju građevinskih područja provodi se analiza prometne pristupačnosti i sigurnosti prometa kojom se procjenjuje povezanost s postojećom prometnom mrežom, razina propusnosti i dostupnost osnovnih javnih sadržaja javnim prijevozom i aktivnim oblicima kretanja.</w:t>
      </w:r>
    </w:p>
    <w:p w14:paraId="1685B4DB" w14:textId="77777777" w:rsidR="00D2578D"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701C6572" w14:textId="77777777" w:rsidR="00D2578D"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43A4F1CD" w14:textId="77777777" w:rsidR="00D2578D"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233DAF47" w14:textId="77777777" w:rsidR="00D2578D" w:rsidRPr="007E17BF"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7495F61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Utvrđivanje građevinskih područja</w:t>
      </w:r>
    </w:p>
    <w:p w14:paraId="380EEAE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44.</w:t>
      </w:r>
    </w:p>
    <w:p w14:paraId="2F57A22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Građevinska područja utvrđuju se na temelju:</w:t>
      </w:r>
    </w:p>
    <w:p w14:paraId="4FF5598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tipologije i morfologije naselja</w:t>
      </w:r>
    </w:p>
    <w:p w14:paraId="1278B7A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društvenih i gospodarskih potreba</w:t>
      </w:r>
    </w:p>
    <w:p w14:paraId="3C2A8E8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podataka iz informacijskog sustava</w:t>
      </w:r>
    </w:p>
    <w:p w14:paraId="47AAE3D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podataka iz geodetskih podloga, katastra i zemljišnih knjiga</w:t>
      </w:r>
    </w:p>
    <w:p w14:paraId="01F30F7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namjene površina, korištenja prostora, uključujući područja posebne zaštite, ograničenja i zabrane gradnje te stručnih rješenja važećih prostornih planova</w:t>
      </w:r>
    </w:p>
    <w:p w14:paraId="64A5EF3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procjene budućeg demografskog i ekonomskog razvoja</w:t>
      </w:r>
    </w:p>
    <w:p w14:paraId="4CD73C1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prometno-funkcionalnog stanja i sigurnosnih pokazatelja prometne mreže, uključujući razinu usluge, propusnost i rizike za sigurnost prometa</w:t>
      </w:r>
    </w:p>
    <w:p w14:paraId="782A36A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8. drugih fizičkih svojstava prostora.</w:t>
      </w:r>
    </w:p>
    <w:p w14:paraId="067F396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Prilikom izrade prostornih planova, na temelju ovoga Zakona i pravilnika iz članka 79. stavka 3. ovoga Zakona, polazišta za određivanje građevinskih područja su građevinska područja određena važećim prostornim planovima, koja se ne mogu smanjivati na temelju posebnih propisa, osim ako ovim Zakonom nije drukčije određeno.</w:t>
      </w:r>
    </w:p>
    <w:p w14:paraId="59CACA3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U smislu stavka 2. ovoga članka sva građevinska područja određena važećim prostornim planovima mogu se, u ovisnosti o razini i značaju, zadržati odnosno nastavno planirati prilikom izrade i donošenja prostornih planova na temelju ovoga Zakona.</w:t>
      </w:r>
    </w:p>
    <w:p w14:paraId="53BC5B9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Širenje građevinskih područja</w:t>
      </w:r>
    </w:p>
    <w:p w14:paraId="7C13D31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45.</w:t>
      </w:r>
    </w:p>
    <w:p w14:paraId="1F958AD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Postojeća građevinska područja, utvrđena važećim prostornim planovima gradova odnosno općina i Prostornim planom Grada Zagreba, ne mogu se širiti dok god unutar njih postoje površine koje nisu opremljene osnovnom infrastrukturom.</w:t>
      </w:r>
    </w:p>
    <w:p w14:paraId="46FB6B2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Ako je uvjet iz stavka 1. ovoga članka ispunjen, širenju građevinskih područja može se pristupiti na temelju prethodno izvršene višekriterijske analize, a metodologija za izradu višekriterijske analize odredit će se pravilnikom iz članka 79. stavka 3. ovoga Zakona.</w:t>
      </w:r>
    </w:p>
    <w:p w14:paraId="3649F72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Višekriterijska analiza iz stavka 2. ovoga članka izrađuje se kao stručna podloga za prostorni plan uređenja grada odnosno općine i Prostorni plan Grada Zagreba, to jest njihove izmjene i dopune, kojim se planira širiti građevinsko područje.</w:t>
      </w:r>
    </w:p>
    <w:p w14:paraId="4E9C74E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Sva proširenja građevinskog područja, uključivo i ona preraspodijeljena sukladno članku 46. ovoga Zakona moraju predstavljati prostorne cjeline koje daju mogućnost cjelovitog prostornog i urbanističkog planiranja područja, uključivo svu potrebnu infrastrukturu i javne sadržaje.</w:t>
      </w:r>
    </w:p>
    <w:p w14:paraId="633DAFE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U slučaju širenja građevinskih područja na područje šuma i šumskog zemljišta i poljoprivrednog zemljišta, potrebna je prethodna suglasnost ministarstva nadležnog za poslove poljoprivrede i šumarstva.</w:t>
      </w:r>
    </w:p>
    <w:p w14:paraId="5092705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Preraspodjela građevinskih područja</w:t>
      </w:r>
    </w:p>
    <w:p w14:paraId="1CED56C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46.</w:t>
      </w:r>
    </w:p>
    <w:p w14:paraId="58271CE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 postojećim građevinskim područjima, utvrđenim važećim prostornim planovima mogu se vršiti preraspodjele površina iz jednog građevinskog područja u drugo, ili iz jednog dijela građevinskog područja u drugi dio, osim ako ovim Zakonom nije propisano drukčije.</w:t>
      </w:r>
    </w:p>
    <w:p w14:paraId="6F8DD45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Preraspodjelom površina iz stavka 1. ovoga članka moraju se očuvati postojeće i stvoriti nove smislene prostorne cjeline, pri čemu se iz građevinskih područja ne smiju isključiti postojeće građevine i uređene površine, niti ugrožavati stečena prava korisnika prostora temeljena na aktima za provedbu zahvata u prostoru.</w:t>
      </w:r>
    </w:p>
    <w:p w14:paraId="2F17ED7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Preraspodjeli površina iz stavka 1. ovoga članka pristupa se na temelju prethodno izvršene višekriterijske analize, a metodologija za izradu višekriterijske analize odredit će se pravilnikom iz članka 79. stavka 3. ovoga Zakona.</w:t>
      </w:r>
    </w:p>
    <w:p w14:paraId="43FCC7D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Prilikom preraspodjele ili širenja građevinskih područja, dijelom građevinskog područja naselja i izdvojenog dijela građevinskog područja naselja ne može se smatrati niti u prostornim planovima određivati jedna ili više katastarskih čestica čija je ukupna površina manja od 5000 m², a koje nisu prostorno i infrastrukturno povezane s postojećim građevinskim područjem istog naselja ili postojećim izdvojenim dijelom građevinskog područja istog naselja.</w:t>
      </w:r>
    </w:p>
    <w:p w14:paraId="538A6681"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Zelena infrastruktura u urbanim područjima</w:t>
      </w:r>
    </w:p>
    <w:p w14:paraId="7F8B4AE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47.</w:t>
      </w:r>
    </w:p>
    <w:p w14:paraId="1DC6BE7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Za urbane cjeline u prostornim planovima potrebno je planirati zelenu infrastrukturu u urbanim područjima u skladu s Programom razvoja zelene infrastrukture u urbanim područjima koji se donosi na temelju propisa kojim se uređuje područje gradnje.</w:t>
      </w:r>
    </w:p>
    <w:p w14:paraId="6C86B16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 xml:space="preserve">(2) Postojeće javne i zaštitne zelene te </w:t>
      </w:r>
      <w:proofErr w:type="spellStart"/>
      <w:r w:rsidRPr="007E17BF">
        <w:rPr>
          <w:rFonts w:ascii="Times New Roman" w:eastAsia="Times New Roman" w:hAnsi="Times New Roman"/>
          <w:color w:val="231F20"/>
          <w:sz w:val="20"/>
          <w:szCs w:val="20"/>
          <w:lang w:eastAsia="hr-HR"/>
        </w:rPr>
        <w:t>upojne</w:t>
      </w:r>
      <w:proofErr w:type="spellEnd"/>
      <w:r w:rsidRPr="007E17BF">
        <w:rPr>
          <w:rFonts w:ascii="Times New Roman" w:eastAsia="Times New Roman" w:hAnsi="Times New Roman"/>
          <w:color w:val="231F20"/>
          <w:sz w:val="20"/>
          <w:szCs w:val="20"/>
          <w:lang w:eastAsia="hr-HR"/>
        </w:rPr>
        <w:t xml:space="preserve"> površine unutar građevinskih područja potrebno je maksimalno očuvati i štititi od nove izgradnje ili prenamjene.</w:t>
      </w:r>
    </w:p>
    <w:p w14:paraId="065191A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Metodologija i smjernice za izradu stručnih rješenja prilikom planiranja zelene infrastrukture u građevinskim područjima odredit će se pravilnikom iz članka 79. stavka 3. ovoga Zakona.</w:t>
      </w:r>
    </w:p>
    <w:p w14:paraId="024D21E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(4) Građevinska područja moraju se planirati tako da uključuje i </w:t>
      </w:r>
      <w:proofErr w:type="spellStart"/>
      <w:r w:rsidRPr="007E17BF">
        <w:rPr>
          <w:rFonts w:ascii="Times New Roman" w:eastAsia="Times New Roman" w:hAnsi="Times New Roman"/>
          <w:color w:val="231F20"/>
          <w:sz w:val="20"/>
          <w:szCs w:val="20"/>
          <w:lang w:eastAsia="hr-HR"/>
        </w:rPr>
        <w:t>upojne</w:t>
      </w:r>
      <w:proofErr w:type="spellEnd"/>
      <w:r w:rsidRPr="007E17BF">
        <w:rPr>
          <w:rFonts w:ascii="Times New Roman" w:eastAsia="Times New Roman" w:hAnsi="Times New Roman"/>
          <w:color w:val="231F20"/>
          <w:sz w:val="20"/>
          <w:szCs w:val="20"/>
          <w:lang w:eastAsia="hr-HR"/>
        </w:rPr>
        <w:t xml:space="preserve"> površine, a kriteriji i smjernice planiranja </w:t>
      </w:r>
      <w:proofErr w:type="spellStart"/>
      <w:r w:rsidRPr="007E17BF">
        <w:rPr>
          <w:rFonts w:ascii="Times New Roman" w:eastAsia="Times New Roman" w:hAnsi="Times New Roman"/>
          <w:color w:val="231F20"/>
          <w:sz w:val="20"/>
          <w:szCs w:val="20"/>
          <w:lang w:eastAsia="hr-HR"/>
        </w:rPr>
        <w:t>upojnih</w:t>
      </w:r>
      <w:proofErr w:type="spellEnd"/>
      <w:r w:rsidRPr="007E17BF">
        <w:rPr>
          <w:rFonts w:ascii="Times New Roman" w:eastAsia="Times New Roman" w:hAnsi="Times New Roman"/>
          <w:color w:val="231F20"/>
          <w:sz w:val="20"/>
          <w:szCs w:val="20"/>
          <w:lang w:eastAsia="hr-HR"/>
        </w:rPr>
        <w:t xml:space="preserve"> površina odredit će se pravilnikom iz članka 79. stavka 3. ovoga Zakona.</w:t>
      </w:r>
    </w:p>
    <w:p w14:paraId="641ABF9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Planiranje zelene infrastrukture u urbanim područjima provodi se uz usklađivanje s mrežom aktivne mobilnosti tako da se zelene površine koriste i kao sigurni koridori za pješački i biciklistički promet.</w:t>
      </w:r>
    </w:p>
    <w:p w14:paraId="7135A6F4" w14:textId="42F4B394" w:rsidR="007E17BF" w:rsidRPr="007E17BF" w:rsidRDefault="007E17BF" w:rsidP="00D2578D">
      <w:pPr>
        <w:pStyle w:val="Naslov4"/>
        <w:rPr>
          <w:lang w:eastAsia="hr-HR"/>
        </w:rPr>
      </w:pPr>
      <w:bookmarkStart w:id="5" w:name="_Toc219166922"/>
      <w:r w:rsidRPr="007E17BF">
        <w:rPr>
          <w:lang w:eastAsia="hr-HR"/>
        </w:rPr>
        <w:t>GLAVA II.</w:t>
      </w:r>
      <w:r w:rsidR="00D2578D">
        <w:rPr>
          <w:lang w:eastAsia="hr-HR"/>
        </w:rPr>
        <w:t xml:space="preserve">   </w:t>
      </w:r>
      <w:r w:rsidRPr="007E17BF">
        <w:rPr>
          <w:lang w:eastAsia="hr-HR"/>
        </w:rPr>
        <w:t>PLANIRANJE IZVAN GRAĐEVINSKIH PODRUČJA</w:t>
      </w:r>
      <w:bookmarkEnd w:id="5"/>
    </w:p>
    <w:p w14:paraId="3252C2F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Planiranje izvan građevinskih područja</w:t>
      </w:r>
    </w:p>
    <w:p w14:paraId="2C0E8654"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48.</w:t>
      </w:r>
    </w:p>
    <w:p w14:paraId="4443FD0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Izvan građevinskog područja mogu se planirati sljedeći zahvati u prostoru:</w:t>
      </w:r>
    </w:p>
    <w:p w14:paraId="7F4E344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linijske infrastrukture</w:t>
      </w:r>
    </w:p>
    <w:p w14:paraId="76387FF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građevine obrane</w:t>
      </w:r>
    </w:p>
    <w:p w14:paraId="7092812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građevine za nadzor granice</w:t>
      </w:r>
    </w:p>
    <w:p w14:paraId="3F7154D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građevine poljoprivredne namjene sukladno posebnom propisu iz područja poljoprivrede, osim u strogom i posebnom rezervatu te nacionalnom parku, pri čemu se na tim područjima mogu planirati tradicijske poljoprivredne i stočarske građevine kao što su suhozidi, bunari, staje, spremišta i sl., te elementi poljoprivrednih i stočarskih sustava oblikovani u izniman krajobraz kao što su maslinici, vinogradi i poljodjelski vrtovi, koji se obnavljaju kao sustavi dotrajalih građevina ili nasada, a radi očuvanja povijesnog identiteta prostora i održanja tradicijske poljoprivrede u funkciji očuvanja iznimne prirodne i kulturne vrijednosti krajobraza</w:t>
      </w:r>
    </w:p>
    <w:p w14:paraId="79D175D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građevine namijenjene gospodarenju u šumarstvu, lovstvu i akvakulturi</w:t>
      </w:r>
    </w:p>
    <w:p w14:paraId="73A2342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planinarski domovi, planinarske kuće, skloništa za planinare, vidikovci, nadstrešnice i slične građevine i zahvati u prostoru za potrebe planinarstva</w:t>
      </w:r>
    </w:p>
    <w:p w14:paraId="30B7E35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istraživanje i eksploatacija mineralnih sirovina</w:t>
      </w:r>
    </w:p>
    <w:p w14:paraId="1999170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8. istraživanje i eksploatacija ugljikovodika, geotermalne vode, podzemno skladištenje plina i trajno zbrinjavanje ugljikova dioksida u geološkim strukturama</w:t>
      </w:r>
    </w:p>
    <w:p w14:paraId="21148D7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9. </w:t>
      </w:r>
      <w:proofErr w:type="spellStart"/>
      <w:r w:rsidRPr="007E17BF">
        <w:rPr>
          <w:rFonts w:ascii="Times New Roman" w:eastAsia="Times New Roman" w:hAnsi="Times New Roman"/>
          <w:color w:val="231F20"/>
          <w:sz w:val="20"/>
          <w:szCs w:val="20"/>
          <w:lang w:eastAsia="hr-HR"/>
        </w:rPr>
        <w:t>reciklažna</w:t>
      </w:r>
      <w:proofErr w:type="spellEnd"/>
      <w:r w:rsidRPr="007E17BF">
        <w:rPr>
          <w:rFonts w:ascii="Times New Roman" w:eastAsia="Times New Roman" w:hAnsi="Times New Roman"/>
          <w:color w:val="231F20"/>
          <w:sz w:val="20"/>
          <w:szCs w:val="20"/>
          <w:lang w:eastAsia="hr-HR"/>
        </w:rPr>
        <w:t xml:space="preserve"> dvorišta za građevni otpad s pripadajućim postrojenjima, asfaltne baze, betonare i druge građevine u funkciji obrade mineralnih sirovina, unutar određenih eksploatacijskih polja</w:t>
      </w:r>
    </w:p>
    <w:p w14:paraId="2C8474C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10. igrališta za golf i druga sportsko-rekreacijska igrališta na otvorenom, osim u strogom i posebnom rezervatu</w:t>
      </w:r>
    </w:p>
    <w:p w14:paraId="7081195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11. površine robinzonskog smještaja izvan prostora ograničenja, strogog rezervata, posebnog rezervata, parka prirode i nacionalnog parka, na kojima se ne mogu planirati građevine za koje je potrebna građevinska dozvola prema posebnom propisu, s maksimalnim smještajnim kapacitetom do 30 gostiju, koji ne predstavljaju trajnu intervenciju u prostoru</w:t>
      </w:r>
    </w:p>
    <w:p w14:paraId="23B5DBA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12. stambena i pomoćna građevina za vlastite potrebe na jednoj ili više katastarskih čestica na zemljištu u privatnom vlasništvu od 20 ha i više, osim u područjima zaštićenima na temelju posebnih propisa o zaštiti prirode</w:t>
      </w:r>
    </w:p>
    <w:p w14:paraId="12B930D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13. građevina za potrebe seoskog turizma na jednoj ili više katastarskih čestica na zemljištu površine od 2 ha i više koje je prethodno kultivirano, osim u područjima zaštićenima na temelju posebnih propisa o zaštiti prirode</w:t>
      </w:r>
    </w:p>
    <w:p w14:paraId="6592D23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14. rekonstrukcije postojećih građevina</w:t>
      </w:r>
    </w:p>
    <w:p w14:paraId="4C9841D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15. građevine </w:t>
      </w:r>
      <w:proofErr w:type="spellStart"/>
      <w:r w:rsidRPr="007E17BF">
        <w:rPr>
          <w:rFonts w:ascii="Times New Roman" w:eastAsia="Times New Roman" w:hAnsi="Times New Roman"/>
          <w:color w:val="231F20"/>
          <w:sz w:val="20"/>
          <w:szCs w:val="20"/>
          <w:lang w:eastAsia="hr-HR"/>
        </w:rPr>
        <w:t>posjetiteljske</w:t>
      </w:r>
      <w:proofErr w:type="spellEnd"/>
      <w:r w:rsidRPr="007E17BF">
        <w:rPr>
          <w:rFonts w:ascii="Times New Roman" w:eastAsia="Times New Roman" w:hAnsi="Times New Roman"/>
          <w:color w:val="231F20"/>
          <w:sz w:val="20"/>
          <w:szCs w:val="20"/>
          <w:lang w:eastAsia="hr-HR"/>
        </w:rPr>
        <w:t xml:space="preserve"> infrastrukture ako je nositelj zahvata javna ustanova koja upravlja tim zaštićenim područjem u područjima zaštićenim prema posebnom zakonu kojim se uređuje zaštita prirode kao što su informativni punkt, suvenirnica, sanitarni čvor i sl.</w:t>
      </w:r>
    </w:p>
    <w:p w14:paraId="0823444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16. mjerni uređaji i prateća infrastruktura za potrebe stručnih i znanstvenih istraživanja</w:t>
      </w:r>
    </w:p>
    <w:p w14:paraId="4BFF29D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17. uređaji za pročišćavanje otpadnih voda.</w:t>
      </w:r>
    </w:p>
    <w:p w14:paraId="16F4F2F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Izvan građevinskog područja mogu se planirati ili graditi spomen-obilježja s pripadajućom infrastrukturom.</w:t>
      </w:r>
    </w:p>
    <w:p w14:paraId="4E1A1A7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Iznimno od stavka 1. točke 11. ovoga članka, izvan građevinskog područja na građevinskim česticama na kojima su izgrađene i ozakonjene građevine na temelju posebnog propisa kojim je dozvoljeno ozakonjenje nezakonito izgrađenih zgrada nije dozvoljeno postavljati opremu za robinzonski smještaj, kao niti graditi kampove niti poduzimati zahvate koji nisu u skladu s prostornim planom.</w:t>
      </w:r>
    </w:p>
    <w:p w14:paraId="5A752EA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Zemljište na jednoj ili više katastarskih čestica za realizaciju zahvata iz stavka 1. točaka 12. i 13. ovoga članka predstavlja gospodarsku i pravnu cjelinu te se ne može otuđivati pojedinačno već samo sve zajedno, o čemu će nadležni sud u zemljišnoj knjizi za svaku katastarsku česticu upisati zabilježbu. Promjena vlasništva ili osnivanje stvarnih prava na tim katastarskim česticama prije upisa zabilježbe ne utječe na upis te zabilježbe.</w:t>
      </w:r>
    </w:p>
    <w:p w14:paraId="5C8C8394" w14:textId="77777777" w:rsid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(5) Građevinska dozvola za zahvate navedene u stavku 1. točkama 12. i 13. ovoga članka sadrži nalog nadležnom sudu za upis u zemljišnoj knjizi zabilježbe da katastarske čestice, građevna čestica i građevine navedene u toj građevinskoj </w:t>
      </w:r>
      <w:r w:rsidRPr="007E17BF">
        <w:rPr>
          <w:rFonts w:ascii="Times New Roman" w:eastAsia="Times New Roman" w:hAnsi="Times New Roman"/>
          <w:color w:val="231F20"/>
          <w:sz w:val="20"/>
          <w:szCs w:val="20"/>
          <w:lang w:eastAsia="hr-HR"/>
        </w:rPr>
        <w:lastRenderedPageBreak/>
        <w:t>dozvoli predstavljaju gospodarsku i pravnu cjelinu te da se ne mogu otuđivati pojedinačno već samo sve zajedno, a koja se zabilježba u zemljišnoj knjizi stavlja za svaku katastarsku česticu te ju po njezinoj izvršnosti tijelo koje ju je izdalo dostavlja nadležnom sudu radi upisa zabilježbe.</w:t>
      </w:r>
    </w:p>
    <w:p w14:paraId="358F4C04" w14:textId="77777777" w:rsidR="00D2578D" w:rsidRPr="007E17BF"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15A0B1B7" w14:textId="0FE74483" w:rsidR="007E17BF" w:rsidRPr="007E17BF" w:rsidRDefault="007E17BF" w:rsidP="00D2578D">
      <w:pPr>
        <w:pStyle w:val="Naslov4"/>
        <w:rPr>
          <w:lang w:eastAsia="hr-HR"/>
        </w:rPr>
      </w:pPr>
      <w:bookmarkStart w:id="6" w:name="_Toc219166923"/>
      <w:r w:rsidRPr="007E17BF">
        <w:rPr>
          <w:lang w:eastAsia="hr-HR"/>
        </w:rPr>
        <w:t>GLAVA III.</w:t>
      </w:r>
      <w:r w:rsidR="00D2578D">
        <w:rPr>
          <w:lang w:eastAsia="hr-HR"/>
        </w:rPr>
        <w:t xml:space="preserve">   </w:t>
      </w:r>
      <w:r w:rsidRPr="007E17BF">
        <w:rPr>
          <w:lang w:eastAsia="hr-HR"/>
        </w:rPr>
        <w:t>PLANIRANJE POVRŠINA VEĆIH PROSTORNIH OBUHVATA OD ZNAČAJA ZA REPUBLIKU HRVATSKU</w:t>
      </w:r>
      <w:bookmarkEnd w:id="6"/>
    </w:p>
    <w:p w14:paraId="50CE7100" w14:textId="20920C6A" w:rsidR="007E17BF" w:rsidRPr="007E17BF" w:rsidRDefault="007E17BF" w:rsidP="00D2578D">
      <w:pPr>
        <w:pStyle w:val="Naslov5"/>
        <w:rPr>
          <w:lang w:eastAsia="hr-HR"/>
        </w:rPr>
      </w:pPr>
      <w:bookmarkStart w:id="7" w:name="_Toc219166924"/>
      <w:r w:rsidRPr="007E17BF">
        <w:rPr>
          <w:lang w:eastAsia="hr-HR"/>
        </w:rPr>
        <w:t>POGLAVLJE I.</w:t>
      </w:r>
      <w:r w:rsidR="00D2578D">
        <w:rPr>
          <w:lang w:eastAsia="hr-HR"/>
        </w:rPr>
        <w:t xml:space="preserve">   </w:t>
      </w:r>
      <w:r w:rsidRPr="007E17BF">
        <w:rPr>
          <w:lang w:eastAsia="hr-HR"/>
        </w:rPr>
        <w:t>POVRŠINE NAMIJENJENE PRIUŠTIVOM STANOVANJU</w:t>
      </w:r>
      <w:bookmarkEnd w:id="7"/>
    </w:p>
    <w:p w14:paraId="1AD1FDB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Općenito</w:t>
      </w:r>
    </w:p>
    <w:p w14:paraId="04FE505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49.</w:t>
      </w:r>
    </w:p>
    <w:p w14:paraId="2B5CAF5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(1) Površine namijenjene </w:t>
      </w:r>
      <w:proofErr w:type="spellStart"/>
      <w:r w:rsidRPr="007E17BF">
        <w:rPr>
          <w:rFonts w:ascii="Times New Roman" w:eastAsia="Times New Roman" w:hAnsi="Times New Roman"/>
          <w:color w:val="231F20"/>
          <w:sz w:val="20"/>
          <w:szCs w:val="20"/>
          <w:lang w:eastAsia="hr-HR"/>
        </w:rPr>
        <w:t>priuštivom</w:t>
      </w:r>
      <w:proofErr w:type="spellEnd"/>
      <w:r w:rsidRPr="007E17BF">
        <w:rPr>
          <w:rFonts w:ascii="Times New Roman" w:eastAsia="Times New Roman" w:hAnsi="Times New Roman"/>
          <w:color w:val="231F20"/>
          <w:sz w:val="20"/>
          <w:szCs w:val="20"/>
          <w:lang w:eastAsia="hr-HR"/>
        </w:rPr>
        <w:t xml:space="preserve"> stanovanju su:</w:t>
      </w:r>
    </w:p>
    <w:p w14:paraId="1DBF43A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površine unutar građevinskih područja naselja stambene i mješovite namjene</w:t>
      </w:r>
    </w:p>
    <w:p w14:paraId="4D92DCC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površine unutar građevinskih područja naselja proizvodne i poslovne namjene na kojima nije započeta realizacija proizvodnih i poslovnih građevina ili se već postojeće građevine ne koriste sukladno planiranoj namjeni</w:t>
      </w:r>
    </w:p>
    <w:p w14:paraId="162C448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površine unutar područja javne i društvene namjene ako se uz stanovanje planira i javna i društvena namjena</w:t>
      </w:r>
    </w:p>
    <w:p w14:paraId="3B4D325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na površinama posebne namjene unutar ili neposredno uz građevinsko područje naselja</w:t>
      </w:r>
    </w:p>
    <w:p w14:paraId="1B917B9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na </w:t>
      </w:r>
      <w:proofErr w:type="spellStart"/>
      <w:r w:rsidRPr="007E17BF">
        <w:rPr>
          <w:rFonts w:ascii="Times New Roman" w:eastAsia="Times New Roman" w:hAnsi="Times New Roman"/>
          <w:color w:val="231F20"/>
          <w:sz w:val="20"/>
          <w:szCs w:val="20"/>
          <w:bdr w:val="none" w:sz="0" w:space="0" w:color="auto" w:frame="1"/>
          <w:lang w:eastAsia="hr-HR"/>
        </w:rPr>
        <w:t>brownfield</w:t>
      </w:r>
      <w:proofErr w:type="spellEnd"/>
      <w:r w:rsidRPr="007E17BF">
        <w:rPr>
          <w:rFonts w:ascii="Times New Roman" w:eastAsia="Times New Roman" w:hAnsi="Times New Roman"/>
          <w:color w:val="231F20"/>
          <w:sz w:val="20"/>
          <w:szCs w:val="20"/>
          <w:bdr w:val="none" w:sz="0" w:space="0" w:color="auto" w:frame="1"/>
          <w:lang w:eastAsia="hr-HR"/>
        </w:rPr>
        <w:t> </w:t>
      </w:r>
      <w:r w:rsidRPr="007E17BF">
        <w:rPr>
          <w:rFonts w:ascii="Times New Roman" w:eastAsia="Times New Roman" w:hAnsi="Times New Roman"/>
          <w:color w:val="231F20"/>
          <w:sz w:val="20"/>
          <w:szCs w:val="20"/>
          <w:lang w:eastAsia="hr-HR"/>
        </w:rPr>
        <w:t>područjima i postojećim </w:t>
      </w:r>
      <w:proofErr w:type="spellStart"/>
      <w:r w:rsidRPr="007E17BF">
        <w:rPr>
          <w:rFonts w:ascii="Times New Roman" w:eastAsia="Times New Roman" w:hAnsi="Times New Roman"/>
          <w:color w:val="231F20"/>
          <w:sz w:val="20"/>
          <w:szCs w:val="20"/>
          <w:bdr w:val="none" w:sz="0" w:space="0" w:color="auto" w:frame="1"/>
          <w:lang w:eastAsia="hr-HR"/>
        </w:rPr>
        <w:t>brownfield</w:t>
      </w:r>
      <w:proofErr w:type="spellEnd"/>
      <w:r w:rsidRPr="007E17BF">
        <w:rPr>
          <w:rFonts w:ascii="Times New Roman" w:eastAsia="Times New Roman" w:hAnsi="Times New Roman"/>
          <w:color w:val="231F20"/>
          <w:sz w:val="20"/>
          <w:szCs w:val="20"/>
          <w:bdr w:val="none" w:sz="0" w:space="0" w:color="auto" w:frame="1"/>
          <w:lang w:eastAsia="hr-HR"/>
        </w:rPr>
        <w:t> </w:t>
      </w:r>
      <w:r w:rsidRPr="007E17BF">
        <w:rPr>
          <w:rFonts w:ascii="Times New Roman" w:eastAsia="Times New Roman" w:hAnsi="Times New Roman"/>
          <w:color w:val="231F20"/>
          <w:sz w:val="20"/>
          <w:szCs w:val="20"/>
          <w:lang w:eastAsia="hr-HR"/>
        </w:rPr>
        <w:t xml:space="preserve">građevinama unutar ili neposredno uz građevinsko područje naselja u kojima je </w:t>
      </w:r>
      <w:proofErr w:type="spellStart"/>
      <w:r w:rsidRPr="007E17BF">
        <w:rPr>
          <w:rFonts w:ascii="Times New Roman" w:eastAsia="Times New Roman" w:hAnsi="Times New Roman"/>
          <w:color w:val="231F20"/>
          <w:sz w:val="20"/>
          <w:szCs w:val="20"/>
          <w:lang w:eastAsia="hr-HR"/>
        </w:rPr>
        <w:t>priuštivo</w:t>
      </w:r>
      <w:proofErr w:type="spellEnd"/>
      <w:r w:rsidRPr="007E17BF">
        <w:rPr>
          <w:rFonts w:ascii="Times New Roman" w:eastAsia="Times New Roman" w:hAnsi="Times New Roman"/>
          <w:color w:val="231F20"/>
          <w:sz w:val="20"/>
          <w:szCs w:val="20"/>
          <w:lang w:eastAsia="hr-HR"/>
        </w:rPr>
        <w:t xml:space="preserve"> stanovanje prihvatljivo s obzirom na namjenu i sadržaje kontaktnog područja.</w:t>
      </w:r>
    </w:p>
    <w:p w14:paraId="373F21F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(2) Površine namijenjene </w:t>
      </w:r>
      <w:proofErr w:type="spellStart"/>
      <w:r w:rsidRPr="007E17BF">
        <w:rPr>
          <w:rFonts w:ascii="Times New Roman" w:eastAsia="Times New Roman" w:hAnsi="Times New Roman"/>
          <w:color w:val="231F20"/>
          <w:sz w:val="20"/>
          <w:szCs w:val="20"/>
          <w:lang w:eastAsia="hr-HR"/>
        </w:rPr>
        <w:t>priuštivom</w:t>
      </w:r>
      <w:proofErr w:type="spellEnd"/>
      <w:r w:rsidRPr="007E17BF">
        <w:rPr>
          <w:rFonts w:ascii="Times New Roman" w:eastAsia="Times New Roman" w:hAnsi="Times New Roman"/>
          <w:color w:val="231F20"/>
          <w:sz w:val="20"/>
          <w:szCs w:val="20"/>
          <w:lang w:eastAsia="hr-HR"/>
        </w:rPr>
        <w:t xml:space="preserve"> stanovanju unutar prostora ograničenja su površine iz stavka 1. točaka 1. i 5. ovoga članka.</w:t>
      </w:r>
    </w:p>
    <w:p w14:paraId="0C0750A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(3) Površine namijenjene </w:t>
      </w:r>
      <w:proofErr w:type="spellStart"/>
      <w:r w:rsidRPr="007E17BF">
        <w:rPr>
          <w:rFonts w:ascii="Times New Roman" w:eastAsia="Times New Roman" w:hAnsi="Times New Roman"/>
          <w:color w:val="231F20"/>
          <w:sz w:val="20"/>
          <w:szCs w:val="20"/>
          <w:lang w:eastAsia="hr-HR"/>
        </w:rPr>
        <w:t>priuštivom</w:t>
      </w:r>
      <w:proofErr w:type="spellEnd"/>
      <w:r w:rsidRPr="007E17BF">
        <w:rPr>
          <w:rFonts w:ascii="Times New Roman" w:eastAsia="Times New Roman" w:hAnsi="Times New Roman"/>
          <w:color w:val="231F20"/>
          <w:sz w:val="20"/>
          <w:szCs w:val="20"/>
          <w:lang w:eastAsia="hr-HR"/>
        </w:rPr>
        <w:t xml:space="preserve"> stanovanju po potrebi uz stambene ili stambeno-poslovne zgrade sadržavaju i prateće sadržaje društvene namjene odnosno površine javne namjene.</w:t>
      </w:r>
    </w:p>
    <w:p w14:paraId="0FAE18E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(4) Zgrade namijenjene </w:t>
      </w:r>
      <w:proofErr w:type="spellStart"/>
      <w:r w:rsidRPr="007E17BF">
        <w:rPr>
          <w:rFonts w:ascii="Times New Roman" w:eastAsia="Times New Roman" w:hAnsi="Times New Roman"/>
          <w:color w:val="231F20"/>
          <w:sz w:val="20"/>
          <w:szCs w:val="20"/>
          <w:lang w:eastAsia="hr-HR"/>
        </w:rPr>
        <w:t>priuštivom</w:t>
      </w:r>
      <w:proofErr w:type="spellEnd"/>
      <w:r w:rsidRPr="007E17BF">
        <w:rPr>
          <w:rFonts w:ascii="Times New Roman" w:eastAsia="Times New Roman" w:hAnsi="Times New Roman"/>
          <w:color w:val="231F20"/>
          <w:sz w:val="20"/>
          <w:szCs w:val="20"/>
          <w:lang w:eastAsia="hr-HR"/>
        </w:rPr>
        <w:t xml:space="preserve"> stanovanju iz stavka 3. ovoga članka gradi javni investitor prema uvjetima i kriterijima iz propisa kojima se uređuje područje </w:t>
      </w:r>
      <w:proofErr w:type="spellStart"/>
      <w:r w:rsidRPr="007E17BF">
        <w:rPr>
          <w:rFonts w:ascii="Times New Roman" w:eastAsia="Times New Roman" w:hAnsi="Times New Roman"/>
          <w:color w:val="231F20"/>
          <w:sz w:val="20"/>
          <w:szCs w:val="20"/>
          <w:lang w:eastAsia="hr-HR"/>
        </w:rPr>
        <w:t>priuštivog</w:t>
      </w:r>
      <w:proofErr w:type="spellEnd"/>
      <w:r w:rsidRPr="007E17BF">
        <w:rPr>
          <w:rFonts w:ascii="Times New Roman" w:eastAsia="Times New Roman" w:hAnsi="Times New Roman"/>
          <w:color w:val="231F20"/>
          <w:sz w:val="20"/>
          <w:szCs w:val="20"/>
          <w:lang w:eastAsia="hr-HR"/>
        </w:rPr>
        <w:t xml:space="preserve"> stanovanja.</w:t>
      </w:r>
    </w:p>
    <w:p w14:paraId="24FDD73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Građenje građevina </w:t>
      </w:r>
      <w:proofErr w:type="spellStart"/>
      <w:r w:rsidRPr="007E17BF">
        <w:rPr>
          <w:rFonts w:ascii="Times New Roman" w:eastAsia="Times New Roman" w:hAnsi="Times New Roman"/>
          <w:color w:val="231F20"/>
          <w:sz w:val="20"/>
          <w:szCs w:val="20"/>
          <w:lang w:eastAsia="hr-HR"/>
        </w:rPr>
        <w:t>priuštivog</w:t>
      </w:r>
      <w:proofErr w:type="spellEnd"/>
      <w:r w:rsidRPr="007E17BF">
        <w:rPr>
          <w:rFonts w:ascii="Times New Roman" w:eastAsia="Times New Roman" w:hAnsi="Times New Roman"/>
          <w:color w:val="231F20"/>
          <w:sz w:val="20"/>
          <w:szCs w:val="20"/>
          <w:lang w:eastAsia="hr-HR"/>
        </w:rPr>
        <w:t xml:space="preserve"> stanovanja</w:t>
      </w:r>
    </w:p>
    <w:p w14:paraId="3935500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50.</w:t>
      </w:r>
    </w:p>
    <w:p w14:paraId="4D4B5B6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(1) Na površinama koje su prostornim planom namijenjene </w:t>
      </w:r>
      <w:proofErr w:type="spellStart"/>
      <w:r w:rsidRPr="007E17BF">
        <w:rPr>
          <w:rFonts w:ascii="Times New Roman" w:eastAsia="Times New Roman" w:hAnsi="Times New Roman"/>
          <w:color w:val="231F20"/>
          <w:sz w:val="20"/>
          <w:szCs w:val="20"/>
          <w:lang w:eastAsia="hr-HR"/>
        </w:rPr>
        <w:t>priuštivom</w:t>
      </w:r>
      <w:proofErr w:type="spellEnd"/>
      <w:r w:rsidRPr="007E17BF">
        <w:rPr>
          <w:rFonts w:ascii="Times New Roman" w:eastAsia="Times New Roman" w:hAnsi="Times New Roman"/>
          <w:color w:val="231F20"/>
          <w:sz w:val="20"/>
          <w:szCs w:val="20"/>
          <w:lang w:eastAsia="hr-HR"/>
        </w:rPr>
        <w:t xml:space="preserve"> stanovanju, kao i na površinama iz članka 49. stavka 1. točke 1. ovoga Zakona, građevine </w:t>
      </w:r>
      <w:proofErr w:type="spellStart"/>
      <w:r w:rsidRPr="007E17BF">
        <w:rPr>
          <w:rFonts w:ascii="Times New Roman" w:eastAsia="Times New Roman" w:hAnsi="Times New Roman"/>
          <w:color w:val="231F20"/>
          <w:sz w:val="20"/>
          <w:szCs w:val="20"/>
          <w:lang w:eastAsia="hr-HR"/>
        </w:rPr>
        <w:t>priuštivog</w:t>
      </w:r>
      <w:proofErr w:type="spellEnd"/>
      <w:r w:rsidRPr="007E17BF">
        <w:rPr>
          <w:rFonts w:ascii="Times New Roman" w:eastAsia="Times New Roman" w:hAnsi="Times New Roman"/>
          <w:color w:val="231F20"/>
          <w:sz w:val="20"/>
          <w:szCs w:val="20"/>
          <w:lang w:eastAsia="hr-HR"/>
        </w:rPr>
        <w:t xml:space="preserve"> stanovanja mogu se smjestiti u prostor na temelju lokacijske dozvole i/ili građevinske dozvole.</w:t>
      </w:r>
    </w:p>
    <w:p w14:paraId="5EFF6AB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(2) Na površinama unutar građevinskog područja iz članka 49. stavka 1. točaka 2. do 5., i iznimno, u nedostatku površina iz članka 49. stavka 1. ovoga Zakona, na površinama određenima prostornim planom kao ostalo zemljište (PŠ) koje je infrastrukturno opremljeno, a nalazi se u kontaktnom području s postojećim građevinskim područjem naselja u koje je integrirano, građevine </w:t>
      </w:r>
      <w:proofErr w:type="spellStart"/>
      <w:r w:rsidRPr="007E17BF">
        <w:rPr>
          <w:rFonts w:ascii="Times New Roman" w:eastAsia="Times New Roman" w:hAnsi="Times New Roman"/>
          <w:color w:val="231F20"/>
          <w:sz w:val="20"/>
          <w:szCs w:val="20"/>
          <w:lang w:eastAsia="hr-HR"/>
        </w:rPr>
        <w:t>priuštivog</w:t>
      </w:r>
      <w:proofErr w:type="spellEnd"/>
      <w:r w:rsidRPr="007E17BF">
        <w:rPr>
          <w:rFonts w:ascii="Times New Roman" w:eastAsia="Times New Roman" w:hAnsi="Times New Roman"/>
          <w:color w:val="231F20"/>
          <w:sz w:val="20"/>
          <w:szCs w:val="20"/>
          <w:lang w:eastAsia="hr-HR"/>
        </w:rPr>
        <w:t xml:space="preserve"> stanovanja mogu se smjestiti u prostor na temelju urbanističkog projekta sukladno programima </w:t>
      </w:r>
      <w:proofErr w:type="spellStart"/>
      <w:r w:rsidRPr="007E17BF">
        <w:rPr>
          <w:rFonts w:ascii="Times New Roman" w:eastAsia="Times New Roman" w:hAnsi="Times New Roman"/>
          <w:color w:val="231F20"/>
          <w:sz w:val="20"/>
          <w:szCs w:val="20"/>
          <w:lang w:eastAsia="hr-HR"/>
        </w:rPr>
        <w:t>priuštivog</w:t>
      </w:r>
      <w:proofErr w:type="spellEnd"/>
      <w:r w:rsidRPr="007E17BF">
        <w:rPr>
          <w:rFonts w:ascii="Times New Roman" w:eastAsia="Times New Roman" w:hAnsi="Times New Roman"/>
          <w:color w:val="231F20"/>
          <w:sz w:val="20"/>
          <w:szCs w:val="20"/>
          <w:lang w:eastAsia="hr-HR"/>
        </w:rPr>
        <w:t xml:space="preserve"> stanovanja donesenim na temelju propisa iz područja </w:t>
      </w:r>
      <w:proofErr w:type="spellStart"/>
      <w:r w:rsidRPr="007E17BF">
        <w:rPr>
          <w:rFonts w:ascii="Times New Roman" w:eastAsia="Times New Roman" w:hAnsi="Times New Roman"/>
          <w:color w:val="231F20"/>
          <w:sz w:val="20"/>
          <w:szCs w:val="20"/>
          <w:lang w:eastAsia="hr-HR"/>
        </w:rPr>
        <w:t>priuštivog</w:t>
      </w:r>
      <w:proofErr w:type="spellEnd"/>
      <w:r w:rsidRPr="007E17BF">
        <w:rPr>
          <w:rFonts w:ascii="Times New Roman" w:eastAsia="Times New Roman" w:hAnsi="Times New Roman"/>
          <w:color w:val="231F20"/>
          <w:sz w:val="20"/>
          <w:szCs w:val="20"/>
          <w:lang w:eastAsia="hr-HR"/>
        </w:rPr>
        <w:t xml:space="preserve"> stanovanja.</w:t>
      </w:r>
    </w:p>
    <w:p w14:paraId="07ADF3EE" w14:textId="0410E0F0" w:rsidR="007E17BF" w:rsidRPr="007E17BF" w:rsidRDefault="007E17BF" w:rsidP="00D2578D">
      <w:pPr>
        <w:pStyle w:val="Naslov5"/>
        <w:rPr>
          <w:lang w:eastAsia="hr-HR"/>
        </w:rPr>
      </w:pPr>
      <w:bookmarkStart w:id="8" w:name="_Toc219166925"/>
      <w:r w:rsidRPr="007E17BF">
        <w:rPr>
          <w:lang w:eastAsia="hr-HR"/>
        </w:rPr>
        <w:t>POGLAVLJE II.</w:t>
      </w:r>
      <w:r w:rsidR="00D2578D">
        <w:rPr>
          <w:lang w:eastAsia="hr-HR"/>
        </w:rPr>
        <w:t xml:space="preserve">   </w:t>
      </w:r>
      <w:r w:rsidRPr="007E17BF">
        <w:rPr>
          <w:lang w:eastAsia="hr-HR"/>
        </w:rPr>
        <w:t>LINIJSKE INFRASTRUKTURNE GRAĐEVINE</w:t>
      </w:r>
      <w:bookmarkEnd w:id="8"/>
    </w:p>
    <w:p w14:paraId="3773B83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Interes Republike Hrvatske</w:t>
      </w:r>
    </w:p>
    <w:p w14:paraId="6D6E1B9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51.</w:t>
      </w:r>
    </w:p>
    <w:p w14:paraId="34268B3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Linijske infrastrukturne građevine su građevine cestovne, željezničke, vodne, energetske i elektroničke komunikacijske infrastrukture. Koridori linijske infrastrukture, linijske infrastrukturne građevine, prostorno planiranje koridora i linijskih infrastrukturnih građevina, njihov razvoj, gradnja, korištenje i održavanje linijskih infrastrukturnih građevina te njihovo evidentiranje u informacijskom sustavu od interesa su za Republiku Hrvatsku.</w:t>
      </w:r>
    </w:p>
    <w:p w14:paraId="45B7788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Obuhvat zahvata u prostoru, građevna čestica i smještaj linijske infrastrukturne građevine na građevnoj čestici određuju se lokacijskom dozvolom i/ili infrastrukturnim projektom linijske infrastrukturne građevine.</w:t>
      </w:r>
    </w:p>
    <w:p w14:paraId="2A987C3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Javna infrastruktura</w:t>
      </w:r>
    </w:p>
    <w:p w14:paraId="36E1E5E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52.</w:t>
      </w:r>
    </w:p>
    <w:p w14:paraId="133EABC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Javna infrastruktura u pravilu se gradi javnim sredstvima, a čine je građevine prometne, energetske, vodne i elektroničke komunikacijske infrastrukture koje mogu biti od državnog, županijskog i lokalnog značaja.</w:t>
      </w:r>
    </w:p>
    <w:p w14:paraId="66510D1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Planiranje javne infrastrukture u prostornom planu uključuje planiranje nove infrastrukture i rekonstrukciju postojeće infrastrukture te određivanje njezina položaja, objekata i mjera potrebnih za njezinu izgradnju odnosno rekonstrukciju i održavanje.</w:t>
      </w:r>
    </w:p>
    <w:p w14:paraId="4E6F373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(3) Trase pojedinih koridora ili trase javne infrastrukture trebaju na najbolji način iskorištavati trase i površine istovrsne ili međusobno kompatibilne infrastrukture i zauzimati što manje površine u prostoru.</w:t>
      </w:r>
    </w:p>
    <w:p w14:paraId="1BA6245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Pri planiranju javne infrastrukture, u skladu s ciljevima i načelima prostornog uređenja iz ovoga Zakona, javna infrastruktura planira se tako da se:</w:t>
      </w:r>
    </w:p>
    <w:p w14:paraId="4FCD75B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raspoloživi prostor koristi racionalno, primarno za rekonstrukciju/proširenje postojeće javne infrastrukture unutar postojećih infrastrukturnih koridora</w:t>
      </w:r>
    </w:p>
    <w:p w14:paraId="1829282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položaj/lokacija planiranog infrastrukturnog koridora usklađuje s potrebama i ograničenjima postojećeg i planiranog naselja, kao i s ostalom postojećom i planiranom infrastrukturom</w:t>
      </w:r>
    </w:p>
    <w:p w14:paraId="7DF6F92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u najvećoj mogućoj mjeri osigurava sigurnost i protočnost prometa</w:t>
      </w:r>
    </w:p>
    <w:p w14:paraId="06C1067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ne narušava kvaliteta života ljudi</w:t>
      </w:r>
    </w:p>
    <w:p w14:paraId="3622C19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u najvećoj mogućoj mjeri očuva povezanost ekosustava</w:t>
      </w:r>
    </w:p>
    <w:p w14:paraId="6E6A02C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u najvećoj mogućoj mjeri očuva kvaliteta prirodnog i kulturnog krajobraza i vrijednog obradivog tla</w:t>
      </w:r>
    </w:p>
    <w:p w14:paraId="73F9008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tvori zatvorena i funkcionalno povezana mreža</w:t>
      </w:r>
    </w:p>
    <w:p w14:paraId="3296277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predvide potrebe razvoja na temelju očekivanog porasta broja stanovnika, urbanizacije te gospodarskih i drugih aktivnosti</w:t>
      </w:r>
    </w:p>
    <w:p w14:paraId="4574D3C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osigura prilagodba i otpornost na klimatske promjene</w:t>
      </w:r>
    </w:p>
    <w:p w14:paraId="2DED411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promiče kružna ekonomija.</w:t>
      </w:r>
    </w:p>
    <w:p w14:paraId="01E6503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Integrirana infrastruktura</w:t>
      </w:r>
    </w:p>
    <w:p w14:paraId="7B9F3CE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53.</w:t>
      </w:r>
    </w:p>
    <w:p w14:paraId="26F0EA6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Integrirana infrastruktura zahtijeva određivanje višenamjenskih ili jednonamjenskih koridora linijske infrastrukture, u pravilu u području koridora cestovne i željezničke infrastrukture te usklađenje planiranih trasa određenih vrsta linijskih infrastrukturnih građevina s trasama drugih vrsta linijskih infrastrukturnih građevina ili cestovne, željezničke i druge infrastrukture i njihovih pripadajućih građevina kao što su mostovi, tuneli, nadvožnjaci, odmorišta i drugo, u odnosu na smještaj u prostoru i rokove gradnje.</w:t>
      </w:r>
    </w:p>
    <w:p w14:paraId="035D328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Prilikom izvođenja građevinskih radova na cesti, željezničkoj pruzi ili drugoj linijskoj infrastrukturi, nositelj takvog zahvata koji namjerava poduzeti zahvat u prostoru dužan je, u suradnji s upraviteljima postojećih linijskih infrastrukturnih građevina, osigurati razvoj te organizirati gradnju, premještanje i zaštitu novih linijskih infrastrukturnih građevina u koridoru.</w:t>
      </w:r>
    </w:p>
    <w:p w14:paraId="29685F5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Projekt integrirane infrastrukture mora se provoditi po načelu fleksibilnosti i najmanje štete prilikom zahvata na pojedinim vrstama linijskih infrastrukturnih građevina. Tehnologija gradnje linijskih infrastrukturnih građevina mora omogućavati da se većina zahvata održavanja i rekonstrukcije tih građevina obavlja u revizijskim oknima, bez iskopa javnih i drugih površina.</w:t>
      </w:r>
    </w:p>
    <w:p w14:paraId="241DDDC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Planiranjem integrirane infrastrukture mora se osigurati povezan, siguran i učinkovit prijelaz između različitih oblika prometa tako da:</w:t>
      </w:r>
    </w:p>
    <w:p w14:paraId="28D1E0F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infrastrukturni koridori omoguće jednostavno i sigurno povezivanje pješačkog, biciklističkog, javnog i cestovnog prometa te pristup važnim čvorištima mobilnosti</w:t>
      </w:r>
    </w:p>
    <w:p w14:paraId="16B0ADD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prometna rješenja spriječe prostorne i sigurnosne konflikte među korisnicima i potiču prelazak na održive oblike kretanja.</w:t>
      </w:r>
    </w:p>
    <w:p w14:paraId="1308D9F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Određivanje koridora linijske infrastrukture</w:t>
      </w:r>
    </w:p>
    <w:p w14:paraId="559F4EB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54.</w:t>
      </w:r>
    </w:p>
    <w:p w14:paraId="5B9BCF3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Koridori linijske infrastrukture, gradnja odnosno postavljanje i razvoj linijskih infrastrukturnih građevina ponajprije se planiraju na nekretninama u vlasništvu jedinica lokalne i područne (regionalne) samouprave odnosno Republike Hrvatske.</w:t>
      </w:r>
    </w:p>
    <w:p w14:paraId="03688FA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Javni interes za određivanje koridora linijske infrastrukture i gradnju te razvoj linijskih infrastrukturnih građevina ima prioritet nad javnim interesom za planiranje drugih zahvata u prostoru, osim zbog opravdanih razloga zaštite nacionalne sigurnosti.</w:t>
      </w:r>
    </w:p>
    <w:p w14:paraId="5D5BAF0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Pri određivanju koridora linijske infrastrukture u prostornim planovima, površine za tu svrhu moraju se primjenom odgovarajućih prostornih normi i prostornih standarda planirati tako da se bitno ne umanji kvaliteta života ljudi u područjima naselja uz infrastrukturu, ako je to moguće i ako se time ne ugrožava isplativost izgradnje infrastrukture.</w:t>
      </w:r>
    </w:p>
    <w:p w14:paraId="215612E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Povezivanje u informacijski sustav</w:t>
      </w:r>
    </w:p>
    <w:p w14:paraId="7E1F273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55.</w:t>
      </w:r>
    </w:p>
    <w:p w14:paraId="0C2F5A6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Podaci o koridorima, trasama i linijskim infrastrukturnim građevinama, vlasnicima odnosno upraviteljima tih građevina, ovlaštenicima posebnih prava u koridorima te zajedničkom korištenju linijskih infrastrukturnih građevina vode se u informacijskom sustavu.</w:t>
      </w:r>
    </w:p>
    <w:p w14:paraId="0FAB953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Podaci iz stavka 1. ovoga članka vode se kao prostorni podaci, odnosno podaci značajni za prostorno uređenje i trajno praćenje stanja u prostoru i povezuju se u informacijski sustav prostornog uređenja Republike Hrvatske.</w:t>
      </w:r>
    </w:p>
    <w:p w14:paraId="4487D4C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Dostava u informacijski sustav</w:t>
      </w:r>
    </w:p>
    <w:p w14:paraId="29FB2E9D"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56.</w:t>
      </w:r>
    </w:p>
    <w:p w14:paraId="2437FFB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(1) Sva javnopravna tijela i trgovačka društva koja posjeduju ili u svojim evidencijama vode podatke o koridorima, trasama i linijskim infrastrukturnim građevinama te vlasnici odnosno upravitelji tih građevina dužni su omogućiti preuzimanje </w:t>
      </w:r>
      <w:proofErr w:type="spellStart"/>
      <w:r w:rsidRPr="007E17BF">
        <w:rPr>
          <w:rFonts w:ascii="Times New Roman" w:eastAsia="Times New Roman" w:hAnsi="Times New Roman"/>
          <w:color w:val="231F20"/>
          <w:sz w:val="20"/>
          <w:szCs w:val="20"/>
          <w:lang w:eastAsia="hr-HR"/>
        </w:rPr>
        <w:t>georeferenciranih</w:t>
      </w:r>
      <w:proofErr w:type="spellEnd"/>
      <w:r w:rsidRPr="007E17BF">
        <w:rPr>
          <w:rFonts w:ascii="Times New Roman" w:eastAsia="Times New Roman" w:hAnsi="Times New Roman"/>
          <w:color w:val="231F20"/>
          <w:sz w:val="20"/>
          <w:szCs w:val="20"/>
          <w:lang w:eastAsia="hr-HR"/>
        </w:rPr>
        <w:t xml:space="preserve"> podataka u digitalnim formatima u informacijski sustav odnosno kontinuirano ažurirati sve promjene podataka o stanju, načinu i uvjetima korištenja i zaštite prostora, koridora, trasa te linijskih infrastrukturnih građevina.</w:t>
      </w:r>
    </w:p>
    <w:p w14:paraId="135A290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(2) Tijela iz stavka 1. ovoga članka dužna su </w:t>
      </w:r>
      <w:proofErr w:type="spellStart"/>
      <w:r w:rsidRPr="007E17BF">
        <w:rPr>
          <w:rFonts w:ascii="Times New Roman" w:eastAsia="Times New Roman" w:hAnsi="Times New Roman"/>
          <w:color w:val="231F20"/>
          <w:sz w:val="20"/>
          <w:szCs w:val="20"/>
          <w:lang w:eastAsia="hr-HR"/>
        </w:rPr>
        <w:t>georeferencirane</w:t>
      </w:r>
      <w:proofErr w:type="spellEnd"/>
      <w:r w:rsidRPr="007E17BF">
        <w:rPr>
          <w:rFonts w:ascii="Times New Roman" w:eastAsia="Times New Roman" w:hAnsi="Times New Roman"/>
          <w:color w:val="231F20"/>
          <w:sz w:val="20"/>
          <w:szCs w:val="20"/>
          <w:lang w:eastAsia="hr-HR"/>
        </w:rPr>
        <w:t xml:space="preserve"> podatke u digitalnim formatima dostaviti odmah, a ako istima ne raspolažu, dužna su ih izraditi i dostaviti u roku od godine dana od stupanja na snagu ovoga Zakona.</w:t>
      </w:r>
    </w:p>
    <w:p w14:paraId="04E4128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Svaka promjena položaja u prostoru i/ili fizičkih dimenzija linijskih infrastrukturnih građevina mora biti dostavljena u informacijski sustav najkasnije u trenutku stavljanja predmetne promjene u uporabu.</w:t>
      </w:r>
    </w:p>
    <w:p w14:paraId="3CA7DF52" w14:textId="0512F338" w:rsidR="007E17BF" w:rsidRPr="007E17BF" w:rsidRDefault="007E17BF" w:rsidP="00D2578D">
      <w:pPr>
        <w:pStyle w:val="Naslov5"/>
        <w:rPr>
          <w:lang w:eastAsia="hr-HR"/>
        </w:rPr>
      </w:pPr>
      <w:bookmarkStart w:id="9" w:name="_Toc219166926"/>
      <w:r w:rsidRPr="007E17BF">
        <w:rPr>
          <w:lang w:eastAsia="hr-HR"/>
        </w:rPr>
        <w:t>POGLAVLJE III.</w:t>
      </w:r>
      <w:r w:rsidR="00D2578D">
        <w:rPr>
          <w:lang w:eastAsia="hr-HR"/>
        </w:rPr>
        <w:t xml:space="preserve">   </w:t>
      </w:r>
      <w:r w:rsidRPr="007E17BF">
        <w:rPr>
          <w:lang w:eastAsia="hr-HR"/>
        </w:rPr>
        <w:t>IGRALIŠTA ZA GOLF, IGRALIŠTA ZA POLO I SKIJALIŠTA KAO ZAHVATI U PROSTORU NA OTVORENOM</w:t>
      </w:r>
      <w:bookmarkEnd w:id="9"/>
    </w:p>
    <w:p w14:paraId="0F2F268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Planiranje igrališta za golf, igrališta za polo i skijališta kao zahvata u prostoru na otvorenom</w:t>
      </w:r>
    </w:p>
    <w:p w14:paraId="1EE6E04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57.</w:t>
      </w:r>
    </w:p>
    <w:p w14:paraId="1A37546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Igrališta za golf, igrališta za polo i skijališta kao zahvati u prostoru na otvorenom mogu se planirati izvan građevinskih područja, pod sljedećim uvjetima:</w:t>
      </w:r>
    </w:p>
    <w:p w14:paraId="57AD748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unutar njihova obuhvata može se planirati gradnja građevina nužnih za funkcioniranje takvog igrališta kao što su klupske prostorije, golf klupska kuća, spremišta, svlačionice, staje, parkirališta, infrastruktura itd.</w:t>
      </w:r>
    </w:p>
    <w:p w14:paraId="345CC7C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maksimalna izgrađenost građevinama iz točke 1. ovoga stavka iznosi 1 % površine obuhvata zahvata u prostoru, a maksimalna iskoristivost 2 % i</w:t>
      </w:r>
    </w:p>
    <w:p w14:paraId="6668B12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više od 50 % površine obuhvata zahvata uređuje se kao parkovni nasad i prirodno zelenilo.</w:t>
      </w:r>
    </w:p>
    <w:p w14:paraId="5960DDD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Građevna čestica za pojedine građevine iz stavka 1. točke 1. ovoga članka planira se unutar obuhvata zahvata u prostoru te ne može biti veća od površine zemljišta potrebnog za redovitu uporabu te građevine.</w:t>
      </w:r>
    </w:p>
    <w:p w14:paraId="742A5AB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Unutar obuhvata zahvata u prostoru iz stavka 1. ovoga članka i u njegovu kontaktnom području mogu se planirati izdvojena građevinska područja ugostiteljsko-turističke namjene izvan naselja za gradnju hotela, vila i pratećih sadržaja ugostiteljsko-turističke namjene.</w:t>
      </w:r>
    </w:p>
    <w:p w14:paraId="17E601E2" w14:textId="77777777" w:rsid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Maksimalna veličina izdvojenog građevinskog područja iz stavka 3. ovoga članka iznosi 5 % površine obuhvata zahvata u prostoru iz stavka 1. ovoga članka, a u skladu s uvjetima iz članka 65. ovoga Zakona.</w:t>
      </w:r>
    </w:p>
    <w:p w14:paraId="573865AE" w14:textId="77777777" w:rsidR="00D2578D" w:rsidRPr="007E17BF"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6DE2FCF6" w14:textId="77880A4D" w:rsidR="007E17BF" w:rsidRPr="007E17BF" w:rsidRDefault="007E17BF" w:rsidP="00D2578D">
      <w:pPr>
        <w:pStyle w:val="Naslov4"/>
        <w:rPr>
          <w:lang w:eastAsia="hr-HR"/>
        </w:rPr>
      </w:pPr>
      <w:bookmarkStart w:id="10" w:name="_Toc219166927"/>
      <w:r w:rsidRPr="007E17BF">
        <w:rPr>
          <w:lang w:eastAsia="hr-HR"/>
        </w:rPr>
        <w:t>GLAVA IV.</w:t>
      </w:r>
      <w:r w:rsidR="00D2578D">
        <w:rPr>
          <w:lang w:eastAsia="hr-HR"/>
        </w:rPr>
        <w:t xml:space="preserve">   </w:t>
      </w:r>
      <w:r w:rsidRPr="007E17BF">
        <w:rPr>
          <w:lang w:eastAsia="hr-HR"/>
        </w:rPr>
        <w:t>ZAŠTIĆENO OBALNO PODRUČJE MORA</w:t>
      </w:r>
      <w:bookmarkEnd w:id="10"/>
    </w:p>
    <w:p w14:paraId="380F5C9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Općenito</w:t>
      </w:r>
    </w:p>
    <w:p w14:paraId="40608E3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58.</w:t>
      </w:r>
    </w:p>
    <w:p w14:paraId="533D6B2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Zaštićeno obalno područje mora (u daljnjem tekstu: ZOP) je područje od posebnog interesa za Republiku Hrvatsku.</w:t>
      </w:r>
    </w:p>
    <w:p w14:paraId="7644FC2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Planiranje i korištenje prostora ZOP-a se radi zaštite, ostvarenja ciljeva održivog, svrhovitog i gospodarski učinkovitog razvoja provodi osobito u prostoru ograničenja.</w:t>
      </w:r>
    </w:p>
    <w:p w14:paraId="4F8A527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Prikaz granice prostora ograničenja obvezni je sadržaj prostornog plana u ZOP-u.</w:t>
      </w:r>
    </w:p>
    <w:p w14:paraId="088A611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Planiranje u ZOP-u</w:t>
      </w:r>
    </w:p>
    <w:p w14:paraId="3FBBA29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59.</w:t>
      </w:r>
    </w:p>
    <w:p w14:paraId="1C5988F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U ZOP-u se prostornim planiranjem mora ostvariti postizanje sljedećih ciljeva:</w:t>
      </w:r>
    </w:p>
    <w:p w14:paraId="31E9681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očuvati prirodne, kulturne, povijesne i tradicijske vrijednosti obalnog i zaobalnog krajolika</w:t>
      </w:r>
    </w:p>
    <w:p w14:paraId="624A2E5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osigurati mjere zaštite okoliša i prirode na kopnu i u moru te osobito područja zaštite vode namijenjene ljudskoj potrošnji</w:t>
      </w:r>
    </w:p>
    <w:p w14:paraId="52DFA09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planirati cjelovito uređenje i zaštitu prostora na osnovi kriterija očuvanja prirodnih vrijednosti i cjelovitosti pojedinih morfoloških cjelina</w:t>
      </w:r>
    </w:p>
    <w:p w14:paraId="6821499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sanirati oštećena područja prirodne, kulturne i povijesne baštine</w:t>
      </w:r>
    </w:p>
    <w:p w14:paraId="6010827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osigurati slobodan pristup obali i prolaz uz obalu i javni interes u korištenju pomorskog dobra</w:t>
      </w:r>
    </w:p>
    <w:p w14:paraId="746AD97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prostor pomorskog dobra štititi planiranjem prometne mreže tako da se cestovni promet usmjerava izvan tog prostora</w:t>
      </w:r>
    </w:p>
    <w:p w14:paraId="42248A5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očuvati nenaseljene otoke i otočiće s prirodnim i kultiviranim krajolikom ponajprije u funkciji poljoprivrednih djelatnosti te u održivom opsegu rekreacijskog korištenja, organiziranog posjećivanja i istraživanja, bez planiranja građevinskih područja i bez gradnje građevina, osim građevina za potrebe sigurnosti plovidbe</w:t>
      </w:r>
    </w:p>
    <w:p w14:paraId="0EDBC76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8. očuvati prirodne plaže, šume, morska staništa i ostala prirodna priobalna staništa te poticati prirodnu obnovu šuma i druge autohtone vegetacije te narušene prirodne ekosustave</w:t>
      </w:r>
    </w:p>
    <w:p w14:paraId="207DA32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9. ograničiti širenje postojećih i planiranje novih građevinskih područja</w:t>
      </w:r>
    </w:p>
    <w:p w14:paraId="0EE97FE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10. onemogućiti međusobno povezivanje i proširenje postojećih građevinskih područja duž obale</w:t>
      </w:r>
    </w:p>
    <w:p w14:paraId="2EDCFEF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11. ograničiti gradnju izvan građevinskih područja</w:t>
      </w:r>
    </w:p>
    <w:p w14:paraId="6F2D093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12. uvjetovati razvitak infrastrukture zaštitom i očuvanjem vrijednosti krajolika</w:t>
      </w:r>
    </w:p>
    <w:p w14:paraId="2DC8510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13. planirati građevine stambene, poslovne i druge namjene tako da se svojom namjenom, položajem, veličinom i oblikovanjem usklade s postojećim prostornim vrijednostima i obilježjima</w:t>
      </w:r>
    </w:p>
    <w:p w14:paraId="78D8B0A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14. sanirati postojeća napuštena eksploatacijska polja mineralnih sirovina i industrijska područja ponajprije pejzažnom </w:t>
      </w:r>
      <w:proofErr w:type="spellStart"/>
      <w:r w:rsidRPr="007E17BF">
        <w:rPr>
          <w:rFonts w:ascii="Times New Roman" w:eastAsia="Times New Roman" w:hAnsi="Times New Roman"/>
          <w:color w:val="231F20"/>
          <w:sz w:val="20"/>
          <w:szCs w:val="20"/>
          <w:lang w:eastAsia="hr-HR"/>
        </w:rPr>
        <w:t>rekultivacijom</w:t>
      </w:r>
      <w:proofErr w:type="spellEnd"/>
      <w:r w:rsidRPr="007E17BF">
        <w:rPr>
          <w:rFonts w:ascii="Times New Roman" w:eastAsia="Times New Roman" w:hAnsi="Times New Roman"/>
          <w:color w:val="231F20"/>
          <w:sz w:val="20"/>
          <w:szCs w:val="20"/>
          <w:lang w:eastAsia="hr-HR"/>
        </w:rPr>
        <w:t xml:space="preserve"> ili planiranjem ugostiteljsko-turističke, sportsko-rekreacijske namjene i društvene namjene.</w:t>
      </w:r>
    </w:p>
    <w:p w14:paraId="2BFD412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Utvrđivanje, širenje i preraspodjela građevinskih područja u prostoru ograničenja</w:t>
      </w:r>
    </w:p>
    <w:p w14:paraId="2DB9F47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60.</w:t>
      </w:r>
    </w:p>
    <w:p w14:paraId="51E3B3D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(1) Građevinska područja u prostoru ograničenja utvrđuju se, šire i </w:t>
      </w:r>
      <w:proofErr w:type="spellStart"/>
      <w:r w:rsidRPr="007E17BF">
        <w:rPr>
          <w:rFonts w:ascii="Times New Roman" w:eastAsia="Times New Roman" w:hAnsi="Times New Roman"/>
          <w:color w:val="231F20"/>
          <w:sz w:val="20"/>
          <w:szCs w:val="20"/>
          <w:lang w:eastAsia="hr-HR"/>
        </w:rPr>
        <w:t>preraspoređuju</w:t>
      </w:r>
      <w:proofErr w:type="spellEnd"/>
      <w:r w:rsidRPr="007E17BF">
        <w:rPr>
          <w:rFonts w:ascii="Times New Roman" w:eastAsia="Times New Roman" w:hAnsi="Times New Roman"/>
          <w:color w:val="231F20"/>
          <w:sz w:val="20"/>
          <w:szCs w:val="20"/>
          <w:lang w:eastAsia="hr-HR"/>
        </w:rPr>
        <w:t xml:space="preserve"> pod uvjetima i na način propisan člancima 44. do 46. ovoga Zakona.</w:t>
      </w:r>
    </w:p>
    <w:p w14:paraId="27775E0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 prostoru ograničenja ne mogu se osnivati nova naselja na temelju posebnog propisa o naseljima, planirati novi izdvojeni dijelovi građevinskog područja naselja, a postojeći izdvojeni dijelovi građevinskog područja naselja ne mogu se proširivati u pojasu od 100 m od obalne crte.</w:t>
      </w:r>
    </w:p>
    <w:p w14:paraId="295F165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Novo izdvojeno građevinsko područje izvan naselja proizvodne namjene može se planirati samo izvan prostora ograničenja, osim za one djelatnosti koje po svojoj prirodi zahtijevaju smještaj na obali kao što su brodogradilišta i sl.</w:t>
      </w:r>
    </w:p>
    <w:p w14:paraId="3FE92C1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Zahvati u prostoru ograničenja</w:t>
      </w:r>
    </w:p>
    <w:p w14:paraId="6F4CA34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61.</w:t>
      </w:r>
    </w:p>
    <w:p w14:paraId="6A20B47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U prostoru ograničenja ne mogu se planirati, niti se može izdavati akt za provedbu sljedećih zahvata u prostoru:</w:t>
      </w:r>
    </w:p>
    <w:p w14:paraId="03B8BCD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istraživanje i eksploataciju mineralnih sirovina</w:t>
      </w:r>
    </w:p>
    <w:p w14:paraId="6132062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iskorištavanje snage vjetra i sunca za električnu energiju, osim integriranih fotonaponskih panela na zgradama, parkiralištima, a u skladu s prostornim planom, ako njihovo postavljanje ne narušava prirodne, kulturne, povijesne i tradicijske vrijednosti krajobraza i naselja</w:t>
      </w:r>
    </w:p>
    <w:p w14:paraId="57231C4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3. skladištenje, obradu i odlaganje otpada, osim za potrebe uspostave pretovarnih stanica i </w:t>
      </w:r>
      <w:proofErr w:type="spellStart"/>
      <w:r w:rsidRPr="007E17BF">
        <w:rPr>
          <w:rFonts w:ascii="Times New Roman" w:eastAsia="Times New Roman" w:hAnsi="Times New Roman"/>
          <w:color w:val="231F20"/>
          <w:sz w:val="20"/>
          <w:szCs w:val="20"/>
          <w:lang w:eastAsia="hr-HR"/>
        </w:rPr>
        <w:t>reciklažnih</w:t>
      </w:r>
      <w:proofErr w:type="spellEnd"/>
      <w:r w:rsidRPr="007E17BF">
        <w:rPr>
          <w:rFonts w:ascii="Times New Roman" w:eastAsia="Times New Roman" w:hAnsi="Times New Roman"/>
          <w:color w:val="231F20"/>
          <w:sz w:val="20"/>
          <w:szCs w:val="20"/>
          <w:lang w:eastAsia="hr-HR"/>
        </w:rPr>
        <w:t xml:space="preserve"> dvorišta</w:t>
      </w:r>
    </w:p>
    <w:p w14:paraId="78FF966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uzgoj plave ribe, a za ostale marikulture na udaljenosti 200 m od obalne crte građevinskog područja osim u Malostonskom zaljevu</w:t>
      </w:r>
    </w:p>
    <w:p w14:paraId="003A788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zahvate u prostoru za vlastite gospodarske potrebe kao što su spremište za alat, strojevi, poljoprivredna oprema i sl.</w:t>
      </w:r>
    </w:p>
    <w:p w14:paraId="5E2F0EB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privezište i luke nautičkog turizma izvan građevinskog područja te nasipavanje obale i/ili mora izvan građevinskog područja</w:t>
      </w:r>
    </w:p>
    <w:p w14:paraId="4E5542E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sidrenje i vez plutajućih objekata namijenjenih stanovanju ili pružanju usluge smještaja</w:t>
      </w:r>
    </w:p>
    <w:p w14:paraId="37F367E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8. zahvate čija je posljedica fizička dioba otoka</w:t>
      </w:r>
    </w:p>
    <w:p w14:paraId="0FE63C0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9. zahvate kojima se mijenja obalna crta osim zahvata unutar lučkih područja radi izgradnje lučke infrastrukture pri čemu se ne smije povećavati površina mora i zahvata u građevinskom području naselja radi planiranja (uređivanja) plaže, rive, šetnice, javne pješačke površine, pri čemu se ne smiju stvarati uvjeti za povećanje izgradnje uz obalu</w:t>
      </w:r>
    </w:p>
    <w:p w14:paraId="0E98842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10. zahvate unutar lučkih područja luka nautičkog turizma kojima se planira ili gradi lučka nadgradnja (</w:t>
      </w:r>
      <w:proofErr w:type="spellStart"/>
      <w:r w:rsidRPr="007E17BF">
        <w:rPr>
          <w:rFonts w:ascii="Times New Roman" w:eastAsia="Times New Roman" w:hAnsi="Times New Roman"/>
          <w:color w:val="231F20"/>
          <w:sz w:val="20"/>
          <w:szCs w:val="20"/>
          <w:lang w:eastAsia="hr-HR"/>
        </w:rPr>
        <w:t>suprastruktura</w:t>
      </w:r>
      <w:proofErr w:type="spellEnd"/>
      <w:r w:rsidRPr="007E17BF">
        <w:rPr>
          <w:rFonts w:ascii="Times New Roman" w:eastAsia="Times New Roman" w:hAnsi="Times New Roman"/>
          <w:color w:val="231F20"/>
          <w:sz w:val="20"/>
          <w:szCs w:val="20"/>
          <w:lang w:eastAsia="hr-HR"/>
        </w:rPr>
        <w:t>) smještena na morskom dijelu lučkog područja, osim dizalica i </w:t>
      </w:r>
      <w:proofErr w:type="spellStart"/>
      <w:r w:rsidRPr="007E17BF">
        <w:rPr>
          <w:rFonts w:ascii="Times New Roman" w:eastAsia="Times New Roman" w:hAnsi="Times New Roman"/>
          <w:color w:val="231F20"/>
          <w:sz w:val="20"/>
          <w:szCs w:val="20"/>
          <w:bdr w:val="none" w:sz="0" w:space="0" w:color="auto" w:frame="1"/>
          <w:lang w:eastAsia="hr-HR"/>
        </w:rPr>
        <w:t>travel</w:t>
      </w:r>
      <w:proofErr w:type="spellEnd"/>
      <w:r w:rsidRPr="007E17BF">
        <w:rPr>
          <w:rFonts w:ascii="Times New Roman" w:eastAsia="Times New Roman" w:hAnsi="Times New Roman"/>
          <w:color w:val="231F20"/>
          <w:sz w:val="20"/>
          <w:szCs w:val="20"/>
          <w:bdr w:val="none" w:sz="0" w:space="0" w:color="auto" w:frame="1"/>
          <w:lang w:eastAsia="hr-HR"/>
        </w:rPr>
        <w:t>-liftova</w:t>
      </w:r>
    </w:p>
    <w:p w14:paraId="0C1174F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11. gradnju građevina na udaljenosti manjoj od pet metara od granice pomorskog dobra u građevinskom području naselja, osim na već izgrađenim prostorima gdje bi takvo odmicanje remetilo postojeći građevinski pravac odnosno prostorni sklad i kontinuitet izgrađene strukture</w:t>
      </w:r>
    </w:p>
    <w:p w14:paraId="14C15AE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12. gradnju građevina u izdvojenom građevinskom području izvan naselja na udaljenosti manjoj od 100 metara od granice pomorskog dobra odnosno 100 m od obalne crte ako granica pomorskog dobra nije utvrđena, ako ovim Zakonom nije drukčije određeno</w:t>
      </w:r>
    </w:p>
    <w:p w14:paraId="58C8758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13. zahvate na pomorskom dobru, osim onih dozvoljenih člankom 69. ovoga Zakona.</w:t>
      </w:r>
    </w:p>
    <w:p w14:paraId="1D52A02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Odredbe stavka 1. ovoga članka ne primjenjuju se na:</w:t>
      </w:r>
    </w:p>
    <w:p w14:paraId="05D7C52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zone tradicijskih naseobina i/ili građevina, za koje se zahvati u prostoru provode na temelju prostornog plana nacionalnog parka, prostornog plana parka prirode ili drugog prostornog plana područja posebnih obilježja</w:t>
      </w:r>
    </w:p>
    <w:p w14:paraId="41B324B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eksploataciju morske soli i solne vode, eksploataciju mora za potrebe vodoopskrbe (</w:t>
      </w:r>
      <w:proofErr w:type="spellStart"/>
      <w:r w:rsidRPr="007E17BF">
        <w:rPr>
          <w:rFonts w:ascii="Times New Roman" w:eastAsia="Times New Roman" w:hAnsi="Times New Roman"/>
          <w:color w:val="231F20"/>
          <w:sz w:val="20"/>
          <w:szCs w:val="20"/>
          <w:lang w:eastAsia="hr-HR"/>
        </w:rPr>
        <w:t>desalinizatori</w:t>
      </w:r>
      <w:proofErr w:type="spellEnd"/>
      <w:r w:rsidRPr="007E17BF">
        <w:rPr>
          <w:rFonts w:ascii="Times New Roman" w:eastAsia="Times New Roman" w:hAnsi="Times New Roman"/>
          <w:color w:val="231F20"/>
          <w:sz w:val="20"/>
          <w:szCs w:val="20"/>
          <w:lang w:eastAsia="hr-HR"/>
        </w:rPr>
        <w:t xml:space="preserve"> te korištenje morske vode za potrebe turističkih zona i medicinskih proizvoda), eksploataciju </w:t>
      </w:r>
      <w:proofErr w:type="spellStart"/>
      <w:r w:rsidRPr="007E17BF">
        <w:rPr>
          <w:rFonts w:ascii="Times New Roman" w:eastAsia="Times New Roman" w:hAnsi="Times New Roman"/>
          <w:color w:val="231F20"/>
          <w:sz w:val="20"/>
          <w:szCs w:val="20"/>
          <w:lang w:eastAsia="hr-HR"/>
        </w:rPr>
        <w:t>peloida</w:t>
      </w:r>
      <w:proofErr w:type="spellEnd"/>
      <w:r w:rsidRPr="007E17BF">
        <w:rPr>
          <w:rFonts w:ascii="Times New Roman" w:eastAsia="Times New Roman" w:hAnsi="Times New Roman"/>
          <w:color w:val="231F20"/>
          <w:sz w:val="20"/>
          <w:szCs w:val="20"/>
          <w:lang w:eastAsia="hr-HR"/>
        </w:rPr>
        <w:t xml:space="preserve"> za balneološke svrhe, istraživanje mineralne i geotermalne vode</w:t>
      </w:r>
    </w:p>
    <w:p w14:paraId="109529A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eksploataciju arhitektonsko-građevnog kamena u svrhu nastavljanja tradicijske djelatnosti na otoku Braču i Korčuli te poluotoku Pelješcu na površinama određenim prostornim planom</w:t>
      </w:r>
    </w:p>
    <w:p w14:paraId="456B879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 xml:space="preserve">4. proširenja postojećih odlagališta otpada do uspostave cjelovitog sustava gospodarenja otpadom te izgradnje </w:t>
      </w:r>
      <w:proofErr w:type="spellStart"/>
      <w:r w:rsidRPr="007E17BF">
        <w:rPr>
          <w:rFonts w:ascii="Times New Roman" w:eastAsia="Times New Roman" w:hAnsi="Times New Roman"/>
          <w:color w:val="231F20"/>
          <w:sz w:val="20"/>
          <w:szCs w:val="20"/>
          <w:lang w:eastAsia="hr-HR"/>
        </w:rPr>
        <w:t>reciklažnih</w:t>
      </w:r>
      <w:proofErr w:type="spellEnd"/>
      <w:r w:rsidRPr="007E17BF">
        <w:rPr>
          <w:rFonts w:ascii="Times New Roman" w:eastAsia="Times New Roman" w:hAnsi="Times New Roman"/>
          <w:color w:val="231F20"/>
          <w:sz w:val="20"/>
          <w:szCs w:val="20"/>
          <w:lang w:eastAsia="hr-HR"/>
        </w:rPr>
        <w:t xml:space="preserve"> dvorišta i pretovarnih stanica, ako to zahtijevaju prirodni uvjeti i konfiguracija terena</w:t>
      </w:r>
    </w:p>
    <w:p w14:paraId="493E88B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obradu otpada u postojećim građevinama proizvodne namjene u kojima se otpad koristi kao energent</w:t>
      </w:r>
    </w:p>
    <w:p w14:paraId="7F0FF04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6. </w:t>
      </w:r>
      <w:proofErr w:type="spellStart"/>
      <w:r w:rsidRPr="007E17BF">
        <w:rPr>
          <w:rFonts w:ascii="Times New Roman" w:eastAsia="Times New Roman" w:hAnsi="Times New Roman"/>
          <w:color w:val="231F20"/>
          <w:sz w:val="20"/>
          <w:szCs w:val="20"/>
          <w:lang w:eastAsia="hr-HR"/>
        </w:rPr>
        <w:t>reciklažna</w:t>
      </w:r>
      <w:proofErr w:type="spellEnd"/>
      <w:r w:rsidRPr="007E17BF">
        <w:rPr>
          <w:rFonts w:ascii="Times New Roman" w:eastAsia="Times New Roman" w:hAnsi="Times New Roman"/>
          <w:color w:val="231F20"/>
          <w:sz w:val="20"/>
          <w:szCs w:val="20"/>
          <w:lang w:eastAsia="hr-HR"/>
        </w:rPr>
        <w:t xml:space="preserve"> dvorišta odnosno skladišta otpada u lučkom području u skladu s obvezama u vezi s gospodarenjem otpadom u lukama propisanim propisom iz područja pomorstva</w:t>
      </w:r>
    </w:p>
    <w:p w14:paraId="2180DFA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privezište kao izdvojeni samostalni infrastrukturni objekt za potrebe uzgoja marikulture</w:t>
      </w:r>
    </w:p>
    <w:p w14:paraId="6810F53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8. privezište kao izdvojeni samostalni infrastrukturni objekt za potrebe prijevoza turista na nenaseljenim otocima i otočićima</w:t>
      </w:r>
    </w:p>
    <w:p w14:paraId="6D9B256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9. pristupna privezišta nužna za održavanje objekata sigurnosti plovidbe</w:t>
      </w:r>
    </w:p>
    <w:p w14:paraId="73F5C62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10. gradnju komunalnih infrastrukturnih građevina koje svojim smještajem zahtijevaju takav položaj</w:t>
      </w:r>
    </w:p>
    <w:p w14:paraId="36BF2D1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11. zahvate u prostoru ograničenja izvan građevinskog područja propisane u članku 62. ovoga Zakona.</w:t>
      </w:r>
    </w:p>
    <w:p w14:paraId="5F30C4DC" w14:textId="748B0F83"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Zahvati u prostoru ograničenja izvan</w:t>
      </w:r>
      <w:r w:rsidR="00D2578D">
        <w:rPr>
          <w:rFonts w:ascii="Times New Roman" w:eastAsia="Times New Roman" w:hAnsi="Times New Roman"/>
          <w:color w:val="231F20"/>
          <w:sz w:val="20"/>
          <w:szCs w:val="20"/>
          <w:lang w:eastAsia="hr-HR"/>
        </w:rPr>
        <w:t xml:space="preserve"> </w:t>
      </w:r>
      <w:r w:rsidRPr="007E17BF">
        <w:rPr>
          <w:rFonts w:ascii="Times New Roman" w:eastAsia="Times New Roman" w:hAnsi="Times New Roman"/>
          <w:color w:val="231F20"/>
          <w:sz w:val="20"/>
          <w:szCs w:val="20"/>
          <w:lang w:eastAsia="hr-HR"/>
        </w:rPr>
        <w:t>građevinskog područja</w:t>
      </w:r>
    </w:p>
    <w:p w14:paraId="6CFD040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62.</w:t>
      </w:r>
    </w:p>
    <w:p w14:paraId="4190BE7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 prostoru ograničenja izvan građevinskog područja može se planirati:</w:t>
      </w:r>
    </w:p>
    <w:p w14:paraId="68E8869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gradnja i rekonstrukcija jedne zgrade izvan nenaseljenih otoka, građevinske (bruto) površine nadzemnih dijelova do 400 m², najveće visine do 5 m i/ili potpuno ukopanog podruma do 1000 m² građevinske (bruto) površine na udaljenosti od najmanje 100 m od obalne crte na jednoj ili više katastarskih čestica na zemljištu ukupne površine od najmanje 3 ha na području jedne jedinice lokalne samouprave, uz uvjet da građevna čestica na kojoj se planira gradnja odnosno rekonstrukcija zgrade i/ili potpuno ukopanog podruma mora imati površinu od najmanje 1 ha, za potrebe obavljanja poljoprivrede kao osnovne djelatnosti uz mogućnost pružanja i pratećih ugostiteljsko-turističkih usluga, osim usluga smještaja u kampu, u prijavljenom obiteljskom poljoprivrednom gospodarstvu, obrtu registriranom za obavljanje poljoprivrede ili pravnoj osobi registriranoj za obavljanje poljoprivrede isključivo domicilnog stanovništva</w:t>
      </w:r>
    </w:p>
    <w:p w14:paraId="3B7F5B9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gradnja građevine za vlastite poljoprivredne potrebe isključivo domicilnog stanovništva, maksimalne površine 20 m² na naseljenim otocima koji se s 3/4 svoje ukupne površine nalaze u prostoru ograničenja, a na dijelu otoka koji je izvan zaštićenih dijelova prirode i zaštićenih kulturnih vrijednosti, prema sljedećim uvjetima:</w:t>
      </w:r>
    </w:p>
    <w:p w14:paraId="1FEA884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a) minimalna površina poljoprivrednog zemljišta iznosi 5000 m², a sastoji se od jedne ili više međusobno susjednih katastarskih čestica</w:t>
      </w:r>
    </w:p>
    <w:p w14:paraId="037BCBE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b) minimalna udaljenost građevina od obalne crte iznosi 200 m</w:t>
      </w:r>
    </w:p>
    <w:p w14:paraId="3F499C1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c) građevina poljoprivredne namjene ne smije se koristiti protivno odobrenoj namjeni niti se može prenamijeniti prema odredbama ovoga Zakona, u protivnom će se ista smatrati bespravno izgrađenom građevinom</w:t>
      </w:r>
    </w:p>
    <w:p w14:paraId="05F68D1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igrališta za golf na otvorenom izvan građevinskog područja i izvan nenaseljenih otoka, ali se u pojasu od najmanje 100 m od obalne crte ne može planirati gradnja građevina, osim građevina infrastrukture koje po svojoj prirodi zahtijevaju smještaj na obali</w:t>
      </w:r>
    </w:p>
    <w:p w14:paraId="5E8F06D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rekonstrukcija postojeće zgrade kojom se ne povećava veličina zgrade (vanjski gabariti nadzemnog i podzemnog dijela)</w:t>
      </w:r>
    </w:p>
    <w:p w14:paraId="30073AE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gradnja zgrade građevinske (bruto) površine do 30 m² namijenjene uzgoju marikulture na pomorskom dobru za potrebe obrta ili pravne osobe, registriranih za uzgoj marikulture na pomorskom dobru koji imaju koncesiju na pomorskom dobru za korištenje površine mora od najmanje 1 ha</w:t>
      </w:r>
    </w:p>
    <w:p w14:paraId="206AA77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gradnja i rekonstrukcija građevina koje po svojoj prirodi zahtijevaju smještaj izvan građevinskog područja uz uvjet usklađenosti s odredbom članka 61. ovoga Zakona.</w:t>
      </w:r>
    </w:p>
    <w:p w14:paraId="36A7AFB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Površine i građevine iz stavka 1. točke 1. ovoga članka ne mogu se prenamijeniti u drugu namjenu prostornim planom bilo koje razine niti mogu zauzimati više od 1/5 ukupne kopnene površine prostora ograničenja izvan građevinskih područja naselja na području jedinice lokalne samouprave.</w:t>
      </w:r>
    </w:p>
    <w:p w14:paraId="5A0CC26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Odobrenje za građenje građevina iz stavka 1. točke 1. ovoga članka može se izdati samo na površinama koje su privedene svrsi i zasađene trajnim nasadima po kriterijima struke kao što su maslina, vinova loza i sl. u površini od najmanje 70 % ukupne površine obuhvata tog zahvata u prostoru.</w:t>
      </w:r>
    </w:p>
    <w:p w14:paraId="368A580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Unutar obuhvata zahvata iz stavka 1. točke 1. ovoga članka nije moguće graditi druge građevine, postavljati modularno-montažne kućice (pokretne kućice) niti poduzimati druge zahvate koji nisu građenje kao što su postavljanje šatora, opreme za kampiranje i sl.</w:t>
      </w:r>
    </w:p>
    <w:p w14:paraId="746025B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Otuđivanje zemljišta i građevina u prostoru ograničenja</w:t>
      </w:r>
    </w:p>
    <w:p w14:paraId="2793AC2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63.</w:t>
      </w:r>
    </w:p>
    <w:p w14:paraId="674049E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Katastarske čestice, građevna čestica i građevine navedene u članku 62. stavku 1. točkama 1. i 2. ovoga Zakona predstavljaju gospodarsku i pravnu cjelinu te se ne mogu otuđivati pojedinačno, već samo sve zajedno, o čemu će nadležni sud u zemljišnoj knjizi za svaku katastarsku česticu upisati zabilježbu.</w:t>
      </w:r>
    </w:p>
    <w:p w14:paraId="285F244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(2) Građevinska dozvola za zahvate navedene u članku 62. stavku 1. točkama 1. i 2. ovoga Zakona sadrži nalog nadležnom sudu za upis zabilježbe u zemljišnoj knjizi da katastarske čestice, građevna čestica i građevine navedene u </w:t>
      </w:r>
      <w:r w:rsidRPr="007E17BF">
        <w:rPr>
          <w:rFonts w:ascii="Times New Roman" w:eastAsia="Times New Roman" w:hAnsi="Times New Roman"/>
          <w:color w:val="231F20"/>
          <w:sz w:val="20"/>
          <w:szCs w:val="20"/>
          <w:lang w:eastAsia="hr-HR"/>
        </w:rPr>
        <w:lastRenderedPageBreak/>
        <w:t>toj građevinskoj dozvoli predstavljaju gospodarsku i pravnu cjelinu te da se ne mogu otuđivati pojedinačno već samo sve zajedno, a koja se zabilježba u zemljišnoj knjizi stavlja za svaku katastarsku česticu.</w:t>
      </w:r>
    </w:p>
    <w:p w14:paraId="650005C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Građevinsku dozvolu iz stavka 2. ovoga članka po njezinoj izvršnosti tijelo koje ju je izdalo dostavlja nadležnom sudu radi upisa zabilježbe.</w:t>
      </w:r>
    </w:p>
    <w:p w14:paraId="4CEA3D1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Promjena vlasništva ili osnivanje stvarnih prava na katastarskim česticama iz stavka 1. ovoga članka prije upisa zabilježbe iz stavka 2. ovoga članka ne utječe na upis te zabilježbe.</w:t>
      </w:r>
    </w:p>
    <w:p w14:paraId="5135A19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Pravni posao sklopljen protivno stavku 1. ovoga članka je ništetan.</w:t>
      </w:r>
    </w:p>
    <w:p w14:paraId="11853E0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Građevinska dozvola iz stavka 2. ovoga članka koja nema sadržaj propisan tim stavkom i stavkom 3. ovoga članka je ništava.</w:t>
      </w:r>
    </w:p>
    <w:p w14:paraId="3FAA5FE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Planiranje ugostiteljsko-turističke namjene u ZOP-u</w:t>
      </w:r>
    </w:p>
    <w:p w14:paraId="062DD8F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64.</w:t>
      </w:r>
    </w:p>
    <w:p w14:paraId="27E9507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Za planiranje građevinskih područja ugostiteljsko-turističke namjene u ZOP-u određuju se sljedeći opći uvjeti:</w:t>
      </w:r>
    </w:p>
    <w:p w14:paraId="3CC11C8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planiraju se u najvećoj mogućoj mjeri kao postojeća građevinska područja, kao kvalitativna i kvantitativna dopuna postojeće turističke ponude s višom kategorijom smještajnih građevina i pratećih sadržaja ili kao prenamjena i revitalizacija postojećih izgrađenih struktura koje se više ne koriste sukladno prvobitnoj namjeni</w:t>
      </w:r>
    </w:p>
    <w:p w14:paraId="576F65F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moraju se planirati na predjelima manje prirodne i krajobrazne vrijednosti, tako da svojom arhitekturom i uređenjem okolnih površina pridonose cjelokupnoj kvaliteti prostora</w:t>
      </w:r>
    </w:p>
    <w:p w14:paraId="67A6A9A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građevine je potrebno smještajem i veličinom, a osobito visinom uklopiti u mjerilo prirodnog okoliša</w:t>
      </w:r>
    </w:p>
    <w:p w14:paraId="7FC7B3C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građevine se planiraju sukladno urbanističkom konceptu i arhitektonskom izrazu s elementima autohtonog urbaniteta i tradicijske arhitekture, slijedeći najnovije stručne, tehničke i znanstvene spoznaje</w:t>
      </w:r>
    </w:p>
    <w:p w14:paraId="2B499F8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vrsta i kapacitet smještajnih građevina, pratećih sadržaja i javnih površina određuje se proporcionalno u odnosu na svaku fazu izgradnje pojedinog zahvata u prostoru</w:t>
      </w:r>
    </w:p>
    <w:p w14:paraId="4279F92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prostorna cjelina širine veće od 500 m neposredno uz obalu, mora unutar svog obuhvata imati najmanje jedan javni kolno-pješački pristup do obale</w:t>
      </w:r>
    </w:p>
    <w:p w14:paraId="5C58115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svaka pojedina prostorna cjelina mora imati pristup na javno-prometnu površinu i određen pripadajući broj parkirališnih mjesta unutar svog obuhvata.</w:t>
      </w:r>
    </w:p>
    <w:p w14:paraId="399E8EC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Planiranje izdvojenih građevinskih područja izvan naselja ugostiteljsko-turističke namjene</w:t>
      </w:r>
    </w:p>
    <w:p w14:paraId="12D81D0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65.</w:t>
      </w:r>
    </w:p>
    <w:p w14:paraId="07DF040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Izdvojena građevinska područja izvan naselja ugostiteljsko-turističke namjene, u kojima se smještaj kao osnovna namjena ostvaruje u izgrađenim strukturama, planiraju se na predjelima manje prirodne i krajobrazne vrijednosti, uključujući i </w:t>
      </w:r>
      <w:proofErr w:type="spellStart"/>
      <w:r w:rsidRPr="007E17BF">
        <w:rPr>
          <w:rFonts w:ascii="Times New Roman" w:eastAsia="Times New Roman" w:hAnsi="Times New Roman"/>
          <w:color w:val="231F20"/>
          <w:sz w:val="20"/>
          <w:szCs w:val="20"/>
          <w:bdr w:val="none" w:sz="0" w:space="0" w:color="auto" w:frame="1"/>
          <w:lang w:eastAsia="hr-HR"/>
        </w:rPr>
        <w:t>brownfield</w:t>
      </w:r>
      <w:proofErr w:type="spellEnd"/>
      <w:r w:rsidRPr="007E17BF">
        <w:rPr>
          <w:rFonts w:ascii="Times New Roman" w:eastAsia="Times New Roman" w:hAnsi="Times New Roman"/>
          <w:color w:val="231F20"/>
          <w:sz w:val="20"/>
          <w:szCs w:val="20"/>
          <w:bdr w:val="none" w:sz="0" w:space="0" w:color="auto" w:frame="1"/>
          <w:lang w:eastAsia="hr-HR"/>
        </w:rPr>
        <w:t> </w:t>
      </w:r>
      <w:r w:rsidRPr="007E17BF">
        <w:rPr>
          <w:rFonts w:ascii="Times New Roman" w:eastAsia="Times New Roman" w:hAnsi="Times New Roman"/>
          <w:color w:val="231F20"/>
          <w:sz w:val="20"/>
          <w:szCs w:val="20"/>
          <w:lang w:eastAsia="hr-HR"/>
        </w:rPr>
        <w:t>područja, uvažavanjem zahtjeva vrsnoće izgrađenog prostora, tako da:</w:t>
      </w:r>
    </w:p>
    <w:p w14:paraId="11AAD3B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smještajne građevine i prateći sadržaji kao što su sportski, rekreacijski, ugostiteljski, uslužni, zabavni i sl. moraju, uz primjenu mjera zaštite okoliša, biti opremljeni infrastrukturom, a položajem, veličinom, osobito visinom u skladu s obilježjem prirodnog krajolika i mjerama zaštite kulturnih dobara</w:t>
      </w:r>
    </w:p>
    <w:p w14:paraId="618801E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građevine budu udaljene najmanje 100 m od obalne crte, a u pojasu od 25 do 100 m od obalne crte je moguće graditi otvorene bazene, sportska igrališta na otvorenom, sunčališta, šetnice, otvorene terase i sanitarne čvorove</w:t>
      </w:r>
    </w:p>
    <w:p w14:paraId="39BD8AC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iznimno od točke 2. ovoga stavka, u pojasu do 25 m od obalne crte moguće je uređivati površine plaža, parkova, perivoja, javnog i zaštitnog zelenila</w:t>
      </w:r>
    </w:p>
    <w:p w14:paraId="3782C7C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vrsta i kapacitet pratećih sadržaja i javnih površina budu određeni razmjerno svakoj fazi građenja smještajnih građevina</w:t>
      </w:r>
    </w:p>
    <w:p w14:paraId="2F37911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najveća izgrađenost pojedine građevne čestice iznosi 30 %, a najveća iskoristivost 80 %</w:t>
      </w:r>
    </w:p>
    <w:p w14:paraId="01C6BB4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najmanje 40 % površine svake građevne čestice bude uređeno kao parkovni nasadi i prirodno zelenilo</w:t>
      </w:r>
    </w:p>
    <w:p w14:paraId="400AB5E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odvodnja otpadnih voda mora se riješiti sustavom odvodnje s odgovarajućim stupnjem pročišćavanja, u skladu s posebnim propisima o vodama.</w:t>
      </w:r>
    </w:p>
    <w:p w14:paraId="75F06FF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Iznimno od stavka 1. ovoga članka, rekonstrukcija postojećih građevina ugostiteljsko-turističke namjene planira se tako da se ne dopusti dodatno približavanje građevinskog pravca rekonstruirane građevine obalnoj crti, ne povećava postojeća gustoća korištenja, izgrađenost građevne čestice i koeficijent iskoristivosti, ako su te veličine veće od onih određenih u stavku 1. ovoga članka.</w:t>
      </w:r>
    </w:p>
    <w:p w14:paraId="2403ADB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Planiranje površina ugostiteljsko-turističke namjene unutar građevinskog područja naselja u ZOP-u</w:t>
      </w:r>
    </w:p>
    <w:p w14:paraId="3C2D4497"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66.</w:t>
      </w:r>
    </w:p>
    <w:p w14:paraId="2FAD244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Unutar građevinskog područja naselja u ZOP-u, površine ugostiteljsko-turističke namjene planiraju se tako da:</w:t>
      </w:r>
    </w:p>
    <w:p w14:paraId="2055A65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ukupna površina takve namjene iznosi najviše 20 % građevinskog područja tog naselja</w:t>
      </w:r>
    </w:p>
    <w:p w14:paraId="10DA21D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smještajna građevina s pripadajućim zemljištem bude izvan postojećih javnih površina uz obalu, na udaljenosti većoj od pet metara od granice pomorskog dobra, osim iznimno na već izgrađenim prostorima gdje bi takvo odmicanje remetilo postojeći građevni pravac odnosno prostorni sklad i kontinuitet izgrađene strukture</w:t>
      </w:r>
    </w:p>
    <w:p w14:paraId="1B50A8E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3. najveća izgrađenost pojedine građevne čestice iznosi 40 %</w:t>
      </w:r>
    </w:p>
    <w:p w14:paraId="006C1BB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najmanje 40 % površine svake građevne čestice bude uređeno kao parkovni nasadi i prirodno zelenilo.</w:t>
      </w:r>
    </w:p>
    <w:p w14:paraId="4E7093C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 građevinskom području naselja u ZOP-u, unutar površina mješovite namjene može se planirati pojedinačna građevina za smještaj kao što su hotel, pansion, prenoćište i sl., kapaciteta do 80 ležajeva.</w:t>
      </w:r>
    </w:p>
    <w:p w14:paraId="4FE2E22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Planiranje kampa</w:t>
      </w:r>
    </w:p>
    <w:p w14:paraId="4E0B172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67.</w:t>
      </w:r>
    </w:p>
    <w:p w14:paraId="1A8458B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Kamp se planira u izdvojenom građevinskom području izvan naselja ugostiteljsko-turističke namjene i u građevinskom području naselja unutar površine ugostiteljsko-turističke namjene prema sljedećim općim uvjetima:</w:t>
      </w:r>
    </w:p>
    <w:p w14:paraId="624B14C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obvezno je u što većoj mjeri očuvati zatečenu vegetaciju, prirodne dijelove obale i krajobrazne vrijednosti</w:t>
      </w:r>
    </w:p>
    <w:p w14:paraId="7569030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smještajne jedinice u obuhvatu kampa ne smiju svojim izgledom, veličinom i smještajem narušavati zatečeni prirodni krajobraz te se moraju moći ukloniti bez trajne devastacije prostora u kojem su smještene</w:t>
      </w:r>
    </w:p>
    <w:p w14:paraId="58A5796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najmanje 40 % ukupne površine kampa mora biti uređeno kao parkovni nasadi i/ili prirodno zelenilo</w:t>
      </w:r>
    </w:p>
    <w:p w14:paraId="5F306E2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najveća dopuštena izgrađenost iznosi 30 % ukupne površine kampa, u koju površinu se uračunavaju i modularno-montažne kućice (pokretne kućice), neovisno o tome jesu li čvrsto povezane s tlom</w:t>
      </w:r>
    </w:p>
    <w:p w14:paraId="5FFF2F1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najviše 30 % površine kampa mogu zauzimati prometne i parkirališne površine.</w:t>
      </w:r>
    </w:p>
    <w:p w14:paraId="5BBEDD3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 kampu, u izdvojenom građevinskom području izvan naselja ugostiteljsko-turističke namjene, u pojasu od 25 m od obalne crte nije moguće planirati građenje, postavljati modularno-montažne kućice (pokretne kućice) niti poduzimati zahvate u prostoru osim uređenja plaža, parkova, perivoja, javnog i zaštitnog zelenila, a u pojasu od 25 m do 100 m od obalne crte nije moguće planirati građenje, postavljati modularno-montažne kućice (pokretne kućice), niti poduzimati zahvate u prostoru osim otvorenih bazena, sportskih igrališta na otvorenom, sanitarnih čvorova, sunčališta, šetnica i otvorenih terasa i površina za smještaj opreme za kampiranje.</w:t>
      </w:r>
    </w:p>
    <w:p w14:paraId="4439B94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U kampu, u građevinskom području unutar naselja ugostiteljsko-turističke namjene, u pojasu od 25 metara od obalne crte nije moguće planirati građevine, postavljati modularno-montažne kućice (pokretne kućice) niti poduzimati zahvate u prostoru osim otvorenih bazena, sportskih igrališta na otvorenom, sunčališta, šetnica, otvorenih terasa, sanitarnih čvorova, uređenih plaža te uređivanja površina prirodnih plaža, parkova, perivoja, javnog i zaštitnog zelenila.</w:t>
      </w:r>
    </w:p>
    <w:p w14:paraId="7586F13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roofErr w:type="spellStart"/>
      <w:r w:rsidRPr="007E17BF">
        <w:rPr>
          <w:rFonts w:ascii="Times New Roman" w:eastAsia="Times New Roman" w:hAnsi="Times New Roman"/>
          <w:color w:val="231F20"/>
          <w:sz w:val="20"/>
          <w:szCs w:val="20"/>
          <w:lang w:eastAsia="hr-HR"/>
        </w:rPr>
        <w:t>Etažiranje</w:t>
      </w:r>
      <w:proofErr w:type="spellEnd"/>
      <w:r w:rsidRPr="007E17BF">
        <w:rPr>
          <w:rFonts w:ascii="Times New Roman" w:eastAsia="Times New Roman" w:hAnsi="Times New Roman"/>
          <w:color w:val="231F20"/>
          <w:sz w:val="20"/>
          <w:szCs w:val="20"/>
          <w:lang w:eastAsia="hr-HR"/>
        </w:rPr>
        <w:t xml:space="preserve"> ugostiteljsko-turističkih građevina</w:t>
      </w:r>
    </w:p>
    <w:p w14:paraId="54E11CA1"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68.</w:t>
      </w:r>
    </w:p>
    <w:p w14:paraId="5B142F5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(1) Ugostiteljsko-turističke građevine namijenjene smještaju nije dopušteno </w:t>
      </w:r>
      <w:proofErr w:type="spellStart"/>
      <w:r w:rsidRPr="007E17BF">
        <w:rPr>
          <w:rFonts w:ascii="Times New Roman" w:eastAsia="Times New Roman" w:hAnsi="Times New Roman"/>
          <w:color w:val="231F20"/>
          <w:sz w:val="20"/>
          <w:szCs w:val="20"/>
          <w:lang w:eastAsia="hr-HR"/>
        </w:rPr>
        <w:t>etažirati</w:t>
      </w:r>
      <w:proofErr w:type="spellEnd"/>
      <w:r w:rsidRPr="007E17BF">
        <w:rPr>
          <w:rFonts w:ascii="Times New Roman" w:eastAsia="Times New Roman" w:hAnsi="Times New Roman"/>
          <w:color w:val="231F20"/>
          <w:sz w:val="20"/>
          <w:szCs w:val="20"/>
          <w:lang w:eastAsia="hr-HR"/>
        </w:rPr>
        <w:t>.</w:t>
      </w:r>
    </w:p>
    <w:p w14:paraId="306826A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(2) Iznimno od stavka 1. ovoga članka, na površinama planiranim prostornim planom za ugostiteljsko-turističku namjenu u ugostiteljsko-turističkoj građevini visoke kategorije od pet zvjezdica u kojima minimalno 70 % smještajnih kapaciteta pripada hotelskom smještaju, može se </w:t>
      </w:r>
      <w:proofErr w:type="spellStart"/>
      <w:r w:rsidRPr="007E17BF">
        <w:rPr>
          <w:rFonts w:ascii="Times New Roman" w:eastAsia="Times New Roman" w:hAnsi="Times New Roman"/>
          <w:color w:val="231F20"/>
          <w:sz w:val="20"/>
          <w:szCs w:val="20"/>
          <w:lang w:eastAsia="hr-HR"/>
        </w:rPr>
        <w:t>etažirati</w:t>
      </w:r>
      <w:proofErr w:type="spellEnd"/>
      <w:r w:rsidRPr="007E17BF">
        <w:rPr>
          <w:rFonts w:ascii="Times New Roman" w:eastAsia="Times New Roman" w:hAnsi="Times New Roman"/>
          <w:color w:val="231F20"/>
          <w:sz w:val="20"/>
          <w:szCs w:val="20"/>
          <w:lang w:eastAsia="hr-HR"/>
        </w:rPr>
        <w:t xml:space="preserve"> preostalih 30 % smještajnih kapaciteta u vilama i apartmanima, uz uvjet prethodno izdane uporabne dozvole za hotele i prateće sadržaje unutar obuhvata lokacijske dozvole.</w:t>
      </w:r>
    </w:p>
    <w:p w14:paraId="26A04BB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Ugostiteljsko-turističke građevine iz stavka 2. ovoga članka moraju funkcionirati kao jedinstvena funkcionalna cjelina s centraliziranim modelom upravljanja, održavanja i najma etažnih jedinica putem osobe zajedničkog upravitelja građevine kao cjeline.</w:t>
      </w:r>
    </w:p>
    <w:p w14:paraId="6E85339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Vila ili apartman iz stavka 2. ovoga članka može se otuđiti samo stjecatelju koji upravljanje tim dijelom ugovorom povjeri osobi zajedničkog upravitelja u svrhu obavljanja ugostiteljsko-turističke djelatnosti.</w:t>
      </w:r>
    </w:p>
    <w:p w14:paraId="0718598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(5) Stjecatelj se ugovorom iz stavka 4. ovoga članka mora obvezati sudjelovati u podmirivanju troškova održavanja sadržaja u funkciji ugostiteljsko-turističke građevine u kojoj se etažni dio nalazi, a razmjerno veličini posebnog dijela te priznati pravo prvokupa zajedničkog upravitelja </w:t>
      </w:r>
      <w:proofErr w:type="spellStart"/>
      <w:r w:rsidRPr="007E17BF">
        <w:rPr>
          <w:rFonts w:ascii="Times New Roman" w:eastAsia="Times New Roman" w:hAnsi="Times New Roman"/>
          <w:color w:val="231F20"/>
          <w:sz w:val="20"/>
          <w:szCs w:val="20"/>
          <w:lang w:eastAsia="hr-HR"/>
        </w:rPr>
        <w:t>etažirane</w:t>
      </w:r>
      <w:proofErr w:type="spellEnd"/>
      <w:r w:rsidRPr="007E17BF">
        <w:rPr>
          <w:rFonts w:ascii="Times New Roman" w:eastAsia="Times New Roman" w:hAnsi="Times New Roman"/>
          <w:color w:val="231F20"/>
          <w:sz w:val="20"/>
          <w:szCs w:val="20"/>
          <w:lang w:eastAsia="hr-HR"/>
        </w:rPr>
        <w:t xml:space="preserve"> smještajne jedinice.</w:t>
      </w:r>
    </w:p>
    <w:p w14:paraId="4C307D9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Vile i apartmani iz stavka 2. ovoga članka nisu namijenjeni za stanovanje.</w:t>
      </w:r>
    </w:p>
    <w:p w14:paraId="7B4FF8D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Ugovor iz stavka 4. ovoga članka mora sadržavati odredbu o trajanju prava korištenja za vlastite potrebe, koje ne može biti dulje od 60 dana u jednoj kalendarskoj godini.</w:t>
      </w:r>
    </w:p>
    <w:p w14:paraId="460AB6F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(8) Ugovor sklopljen protivno odredbama ovoga članka je ništetan.</w:t>
      </w:r>
    </w:p>
    <w:p w14:paraId="2419C74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(9) Na području pomorskog dobra nije dopušteno </w:t>
      </w:r>
      <w:proofErr w:type="spellStart"/>
      <w:r w:rsidRPr="007E17BF">
        <w:rPr>
          <w:rFonts w:ascii="Times New Roman" w:eastAsia="Times New Roman" w:hAnsi="Times New Roman"/>
          <w:color w:val="231F20"/>
          <w:sz w:val="20"/>
          <w:szCs w:val="20"/>
          <w:lang w:eastAsia="hr-HR"/>
        </w:rPr>
        <w:t>etažiranje</w:t>
      </w:r>
      <w:proofErr w:type="spellEnd"/>
      <w:r w:rsidRPr="007E17BF">
        <w:rPr>
          <w:rFonts w:ascii="Times New Roman" w:eastAsia="Times New Roman" w:hAnsi="Times New Roman"/>
          <w:color w:val="231F20"/>
          <w:sz w:val="20"/>
          <w:szCs w:val="20"/>
          <w:lang w:eastAsia="hr-HR"/>
        </w:rPr>
        <w:t>.</w:t>
      </w:r>
    </w:p>
    <w:p w14:paraId="0BFE7BF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Planiranje i uređenje prostora pomorskog dobra</w:t>
      </w:r>
    </w:p>
    <w:p w14:paraId="3CE724D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69.</w:t>
      </w:r>
    </w:p>
    <w:p w14:paraId="0A7C87E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Pomorsko dobro je prostor od interesa za Republiku Hrvatsku te uživa njezinu osobitu zaštitu sukladno odredbama ovoga Zakona i posebnih propisa.</w:t>
      </w:r>
    </w:p>
    <w:p w14:paraId="6677375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Pomorsko dobro mora ostati dostupno svim građanima pod jednakim uvjetima, osim na dijelovima koji su dani u koncesiju, na posebnu upotrebu pomorskog dobra, za koje je dano pravo na privremeno gospodarsko korištenje pomorskog dobra, na kojima je dana luka otvorena za javni promet na upravljanje lučkoj upravi te na vojnim područjima, pri čemu je obvezno osigurati javni pristup pomorskom dobru u najvećoj mogućoj mjeri.</w:t>
      </w:r>
    </w:p>
    <w:p w14:paraId="0692A67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U prostoru pomorskog dobra dopušteno je planiranje i provedba sljedećih zahvata u prostoru u vezi s korištenjem mora:</w:t>
      </w:r>
    </w:p>
    <w:p w14:paraId="43094DB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 šetnica, biciklističkih staza, pješačkih mostova</w:t>
      </w:r>
    </w:p>
    <w:p w14:paraId="56F6620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odmorišta, zelenih površina i prostora javnog okupljanja</w:t>
      </w:r>
    </w:p>
    <w:p w14:paraId="451C9C5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potpornih i zaštitnih zidova i podzida</w:t>
      </w:r>
    </w:p>
    <w:p w14:paraId="75A7572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obalnih zidova i rive</w:t>
      </w:r>
    </w:p>
    <w:p w14:paraId="2FC6616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komunalne infrastrukture nužne za sigurno korištenje pomorskog dobra kao što su javna rasvjeta, oborinski i bujični kanali, hidranti i dr.</w:t>
      </w:r>
    </w:p>
    <w:p w14:paraId="6894AE1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infrastrukture za pristup pomorskom dobru osobama smanjene pokretljivosti</w:t>
      </w:r>
    </w:p>
    <w:p w14:paraId="2AE6E51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 morske plaže i njihova </w:t>
      </w:r>
      <w:proofErr w:type="spellStart"/>
      <w:r w:rsidRPr="007E17BF">
        <w:rPr>
          <w:rFonts w:ascii="Times New Roman" w:eastAsia="Times New Roman" w:hAnsi="Times New Roman"/>
          <w:color w:val="231F20"/>
          <w:sz w:val="20"/>
          <w:szCs w:val="20"/>
          <w:lang w:eastAsia="hr-HR"/>
        </w:rPr>
        <w:t>dohrana</w:t>
      </w:r>
      <w:proofErr w:type="spellEnd"/>
      <w:r w:rsidRPr="007E17BF">
        <w:rPr>
          <w:rFonts w:ascii="Times New Roman" w:eastAsia="Times New Roman" w:hAnsi="Times New Roman"/>
          <w:color w:val="231F20"/>
          <w:sz w:val="20"/>
          <w:szCs w:val="20"/>
          <w:lang w:eastAsia="hr-HR"/>
        </w:rPr>
        <w:t xml:space="preserve"> prirodnim materijalom koji je pod utjecajem morskih struja promijenio položaj</w:t>
      </w:r>
    </w:p>
    <w:p w14:paraId="76EEB90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infrastrukturno opremljenih površina za postavljanje objekata i uređaja za potrebe djelatnosti koje se obavljaju na temelju dozvole na pomorskom dobru</w:t>
      </w:r>
    </w:p>
    <w:p w14:paraId="3F3D4B6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zahvata u prostoru za namjenu za koju se daje koncesija, a u vezi su s korištenjem mora</w:t>
      </w:r>
    </w:p>
    <w:p w14:paraId="2D82DD6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 luka sa svim potrebnim infrastrukturnim i </w:t>
      </w:r>
      <w:proofErr w:type="spellStart"/>
      <w:r w:rsidRPr="007E17BF">
        <w:rPr>
          <w:rFonts w:ascii="Times New Roman" w:eastAsia="Times New Roman" w:hAnsi="Times New Roman"/>
          <w:color w:val="231F20"/>
          <w:sz w:val="20"/>
          <w:szCs w:val="20"/>
          <w:lang w:eastAsia="hr-HR"/>
        </w:rPr>
        <w:t>suprastrukturnim</w:t>
      </w:r>
      <w:proofErr w:type="spellEnd"/>
      <w:r w:rsidRPr="007E17BF">
        <w:rPr>
          <w:rFonts w:ascii="Times New Roman" w:eastAsia="Times New Roman" w:hAnsi="Times New Roman"/>
          <w:color w:val="231F20"/>
          <w:sz w:val="20"/>
          <w:szCs w:val="20"/>
          <w:lang w:eastAsia="hr-HR"/>
        </w:rPr>
        <w:t xml:space="preserve"> sadržajima</w:t>
      </w:r>
    </w:p>
    <w:p w14:paraId="10738AB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 aerodroma na vodi, </w:t>
      </w:r>
      <w:proofErr w:type="spellStart"/>
      <w:r w:rsidRPr="007E17BF">
        <w:rPr>
          <w:rFonts w:ascii="Times New Roman" w:eastAsia="Times New Roman" w:hAnsi="Times New Roman"/>
          <w:color w:val="231F20"/>
          <w:sz w:val="20"/>
          <w:szCs w:val="20"/>
          <w:lang w:eastAsia="hr-HR"/>
        </w:rPr>
        <w:t>helidroma</w:t>
      </w:r>
      <w:proofErr w:type="spellEnd"/>
      <w:r w:rsidRPr="007E17BF">
        <w:rPr>
          <w:rFonts w:ascii="Times New Roman" w:eastAsia="Times New Roman" w:hAnsi="Times New Roman"/>
          <w:color w:val="231F20"/>
          <w:sz w:val="20"/>
          <w:szCs w:val="20"/>
          <w:lang w:eastAsia="hr-HR"/>
        </w:rPr>
        <w:t xml:space="preserve"> i sl.</w:t>
      </w:r>
    </w:p>
    <w:p w14:paraId="3B9E267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pomorskih servisa</w:t>
      </w:r>
    </w:p>
    <w:p w14:paraId="3D375B3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benzinskih postaja za pomorski promet</w:t>
      </w:r>
    </w:p>
    <w:p w14:paraId="0FB3CDC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građevina i zahvata u prostoru za uzgoj ribe i drugih morskih organizama, s potrebnom popratnom infrastrukturom</w:t>
      </w:r>
    </w:p>
    <w:p w14:paraId="7FE977D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linijske infrastrukture koja se dijelom ili u cijelosti nalazi na pomorskom dobru i čija je izgradnja uređena posebnim propisom kao što su mostovi, vodovodna, kanalizacijska te energetska infrastruktura i dr.</w:t>
      </w:r>
    </w:p>
    <w:p w14:paraId="3AA6A62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građevina za potrebe tijela državne uprave ili pravnih osoba koje imaju javne ovlasti kao što su potrebe obrane, unutarnjih poslova, sigurnosti plovidbe, zaštite od štetnog djelovanja vode, zaštite prirode i okoliša i drugih sličnih potreba</w:t>
      </w:r>
    </w:p>
    <w:p w14:paraId="2641118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potapanje pomorskih objekata u moru u turističke svrhe.</w:t>
      </w:r>
    </w:p>
    <w:p w14:paraId="294AC02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Zahvati u prostoru pomorskog dobra za koje ne postoji obveza posebnog planiranja u prostornom planu, a mogu se projektirati odnosno provoditi na svim onim prostorima na kojima za to ne postoje zapreke u prostornom planu, vodeći računa o tome da se njima ne ugrozi provedba rješenja iz prostornih planova su:</w:t>
      </w:r>
    </w:p>
    <w:p w14:paraId="33B9D2D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spomenici, skulpture, fontane i sl.</w:t>
      </w:r>
    </w:p>
    <w:p w14:paraId="7ADB1B1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ekološki prihvatljiva nekomercijalna sidra</w:t>
      </w:r>
    </w:p>
    <w:p w14:paraId="42AAFAA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igrališta koja služe općoj upotrebi i mogu se demontirati kao što su dječja igrališta, vaterpolska igrališta i sl.</w:t>
      </w:r>
    </w:p>
    <w:p w14:paraId="345F970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oprema koja služi općoj uporabi namijenjena rekreaciji i kupanju te s tim povezanim aktivnostima te korisnička infrastruktura na uređenim morskim plažama kao što su sanitarni čvorovi, tuševi, kabine za presvlačenje, nadzorni tornjevi spasilačke službe i dr.</w:t>
      </w:r>
    </w:p>
    <w:p w14:paraId="52322C7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privremeno postavljanje pontonskih privezišta na otocima za potrebe ugostiteljskog objekta kojem je moguće pristupiti jedino s mora</w:t>
      </w:r>
    </w:p>
    <w:p w14:paraId="69E0457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zaštitne ograde i nadstrešnice</w:t>
      </w:r>
    </w:p>
    <w:p w14:paraId="5BD5D29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objekti sigurnosti plovidbe</w:t>
      </w:r>
    </w:p>
    <w:p w14:paraId="34FC444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iskopi u moru radi održavanja plovnih puteva i deponiranje viška iskopa iz mora.</w:t>
      </w:r>
    </w:p>
    <w:p w14:paraId="4CD3D00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elektronička komunikacijska infrastruktura u moru.</w:t>
      </w:r>
    </w:p>
    <w:p w14:paraId="74DF6E0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U prostoru pomorskog dobra nije dopušteno planiranje i provedba zahvata u prostoru:</w:t>
      </w:r>
    </w:p>
    <w:p w14:paraId="3A8D278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novih cestovnih infrastrukturnih građevina namijenjenih prometovanju motornih vozila, osim kada je to zbog opravdanih prostornih i funkcionalnih razloga nužno</w:t>
      </w:r>
    </w:p>
    <w:p w14:paraId="54328BB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lučke infrastrukture namijenjene pristajanju i vezivanju brodova izvan lučkog područja luke otvorene za javni promet i lučkog područja luke posebne namjene, osim servisnog privezišta i sidrišta kako su definirani Zakonom o pomorskom dobru i morskim lukama</w:t>
      </w:r>
    </w:p>
    <w:p w14:paraId="32268FE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sunčanih elektrana i vjetroelektrana</w:t>
      </w:r>
    </w:p>
    <w:p w14:paraId="0C6B28A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hotela i apartmana unutar lučkih područja, osim u lukama nautičkog turizma s ukupnim brojem postelja koji odgovara broju od 5 % vezova</w:t>
      </w:r>
    </w:p>
    <w:p w14:paraId="0604183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drugih građevina i zahvata koji nisu u vezi s morem.</w:t>
      </w:r>
    </w:p>
    <w:p w14:paraId="6621C5A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Na kontaktnom području s pomorskim dobrom ne može se izdati akt za provedbu zahvata u prostoru prije nego što je utvrđena granica pomorskog dobra.</w:t>
      </w:r>
    </w:p>
    <w:p w14:paraId="38A78E8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Iznimno od stavka 6. ovoga članka, na kontaktnom području s pomorskim dobrom može se izdati akt za provedbu zahvata u prostoru i prije utvrđivanja granice pomorskog dobra ako se radi o rekonstrukciji postojeće građevine, uz uvjet da se njezin građevinski pravac ne pomiče prema pomorskom dobru.</w:t>
      </w:r>
    </w:p>
    <w:p w14:paraId="0F1481A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(8) Planiranje i provedba svih zahvata u prostoru na pomorskom dobru mora se provoditi sukladno najvišim standardima arhitektonskog oblikovanja, urbanističke izvrsnosti te načelima održivog razvoja, zaštite okoliša i očuvanja javnog interesa.</w:t>
      </w:r>
    </w:p>
    <w:p w14:paraId="20BDBF21"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Planiranje morskog područja</w:t>
      </w:r>
    </w:p>
    <w:p w14:paraId="2A5A0CF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70.</w:t>
      </w:r>
    </w:p>
    <w:p w14:paraId="5BB0072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Morsko područje planira se:</w:t>
      </w:r>
    </w:p>
    <w:p w14:paraId="0B0EDEC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Državnim planom prostornog razvoja</w:t>
      </w:r>
    </w:p>
    <w:p w14:paraId="54842A1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Prostornim planom isključivoga gospodarskog pojasa Republike Hrvatske</w:t>
      </w:r>
    </w:p>
    <w:p w14:paraId="6D4F92F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prostornim planovima nacionalnih parkova i parkova prirode koji obuhvaćaju morsko područje</w:t>
      </w:r>
    </w:p>
    <w:p w14:paraId="20C6DD9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drugim prostornim planovima područja posebnih obilježja koji obuhvaćaju morsko područje, a čiju izradu odredi državni plan prostornog razvoja</w:t>
      </w:r>
    </w:p>
    <w:p w14:paraId="082E954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prostornim planovima županija koje obuhvaćaju morsko područje i prostornim planovima uređenja gradova odnosno općina koje obuhvaćaju morsko područje</w:t>
      </w:r>
    </w:p>
    <w:p w14:paraId="7E21DF4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generalnim urbanističkim planovima i urbanističkim planovima uređenja koji obuhvaćaju morsko područje.</w:t>
      </w:r>
    </w:p>
    <w:p w14:paraId="74802EE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Zahvati u prostoru i površine od državnog značaja i područnog (regionalnog) značaja koji se mogu planirati na morskom području određuju se uredbom iz članka 79. stavka 2. ovoga Zakona, a zahvati u prostoru i površine koje se mogu planirati na morskom području prostornim planovima lokalne razine određuju se pravilnikom iz članka 79. stavka 3. ovoga Zakona.</w:t>
      </w:r>
    </w:p>
    <w:p w14:paraId="7494ABC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Izrada i donošenje prostornih planova morskog područja</w:t>
      </w:r>
    </w:p>
    <w:p w14:paraId="068F23B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71.</w:t>
      </w:r>
    </w:p>
    <w:p w14:paraId="3C59503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Prilikom izrade i donošenja prostornih planova koji obuhvaćaju morsko područje uzimaju se u obzir posebnosti morskog područja, namjena i načini korištenja morskog područja, značajne postojeće i buduće djelatnosti te njihov utjecaj na okoliš i sigurnost plovidbe, kao i prirodni resursi, vodeći računa o interakciji kopna i morskog područja te utjecajima klimatskih promjena.</w:t>
      </w:r>
    </w:p>
    <w:p w14:paraId="4967EF3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Prilikom izrade i donošenja prostornih planova koji obuhvaćaju morsko područje uzimaju se u obzir gospodarski, socijalni i okolišni aspekti radi osiguranja održivog razvitka i rasta pomorskog sektora, očuvanja ekosustava i promicanja uzajamnog prilagođavanja značajnih djelatnosti, namjena i načina korištenja morskog područja.</w:t>
      </w:r>
    </w:p>
    <w:p w14:paraId="33507CD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Izrada i donošenje prostornih planova koji obuhvaćaju morsko područje treba pridonositi održivom razvoju turizma, pomorskog prijevoza, sektora ribarstva i marikulture, energetskog sektora na morskom području te očuvanju, zaštiti i poboljšanju stanja okoliša i prirode, uključujući otpornost na učinke klimatskih promjena, kao i zaštiti i očuvanju kulturnih dobara, ako ovim Zakonom nije propisano drukčije.</w:t>
      </w:r>
    </w:p>
    <w:p w14:paraId="31D189D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U svrhu ostvarivanja ciljeva iz ovoga članka, prostorni planovi koji obuhvaćaju morsko područje sadržavat će zasebne analize, namjene i načine korištenja morskog područja, propisane pravilnikom iz članka 79. stavka 3. ovoga Zakona.</w:t>
      </w:r>
    </w:p>
    <w:p w14:paraId="4EA0BE4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U morskom području ne smiju se planirati nova istražna i eksploatacijska polja ugljikovodika, gradnja ili postavljanje sunčanih elektrana i vjetroelektrana.</w:t>
      </w:r>
    </w:p>
    <w:p w14:paraId="07AFF80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Suradnja s drugim državama članicama Europske unije</w:t>
      </w:r>
    </w:p>
    <w:p w14:paraId="04CB807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72.</w:t>
      </w:r>
    </w:p>
    <w:p w14:paraId="0E0BE6C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(1) Republika Hrvatska u svrhu osiguranja usklađenosti i koordinacije planiranja morskog područja, osim priobalnih voda, u </w:t>
      </w:r>
      <w:proofErr w:type="spellStart"/>
      <w:r w:rsidRPr="007E17BF">
        <w:rPr>
          <w:rFonts w:ascii="Times New Roman" w:eastAsia="Times New Roman" w:hAnsi="Times New Roman"/>
          <w:color w:val="231F20"/>
          <w:sz w:val="20"/>
          <w:szCs w:val="20"/>
          <w:lang w:eastAsia="hr-HR"/>
        </w:rPr>
        <w:t>podregiji</w:t>
      </w:r>
      <w:proofErr w:type="spellEnd"/>
      <w:r w:rsidRPr="007E17BF">
        <w:rPr>
          <w:rFonts w:ascii="Times New Roman" w:eastAsia="Times New Roman" w:hAnsi="Times New Roman"/>
          <w:color w:val="231F20"/>
          <w:sz w:val="20"/>
          <w:szCs w:val="20"/>
          <w:lang w:eastAsia="hr-HR"/>
        </w:rPr>
        <w:t xml:space="preserve"> Jadransko more surađuje s drugim državama članicama Europske unije u toj </w:t>
      </w:r>
      <w:proofErr w:type="spellStart"/>
      <w:r w:rsidRPr="007E17BF">
        <w:rPr>
          <w:rFonts w:ascii="Times New Roman" w:eastAsia="Times New Roman" w:hAnsi="Times New Roman"/>
          <w:color w:val="231F20"/>
          <w:sz w:val="20"/>
          <w:szCs w:val="20"/>
          <w:lang w:eastAsia="hr-HR"/>
        </w:rPr>
        <w:t>podregiji</w:t>
      </w:r>
      <w:proofErr w:type="spellEnd"/>
      <w:r w:rsidRPr="007E17BF">
        <w:rPr>
          <w:rFonts w:ascii="Times New Roman" w:eastAsia="Times New Roman" w:hAnsi="Times New Roman"/>
          <w:color w:val="231F20"/>
          <w:sz w:val="20"/>
          <w:szCs w:val="20"/>
          <w:lang w:eastAsia="hr-HR"/>
        </w:rPr>
        <w:t>.</w:t>
      </w:r>
    </w:p>
    <w:p w14:paraId="79A0B40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Suradnja iz stavka 1. ovoga članka ne utječe na suverena prava i jurisdikciju Republike Hrvatske.</w:t>
      </w:r>
    </w:p>
    <w:p w14:paraId="2526A38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Način suradnje iz stavka 1. ovoga članka određuje se odlukom o izradi Državnog plana prostornog razvoja, Prostornog plana isključivog gospodarskog pojasa Republike Hrvatske te ostalih prostornih planova čiji obuhvati na moru graniče s morskim područjima susjednih država.</w:t>
      </w:r>
    </w:p>
    <w:p w14:paraId="565BE34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(4) Republika Hrvatska treba nastojati, kada je to moguće, u svojim djelovanjima koja se odnose na prostorno planiranje morskog područja, osim priobalnih voda, surađivati s državama u </w:t>
      </w:r>
      <w:proofErr w:type="spellStart"/>
      <w:r w:rsidRPr="007E17BF">
        <w:rPr>
          <w:rFonts w:ascii="Times New Roman" w:eastAsia="Times New Roman" w:hAnsi="Times New Roman"/>
          <w:color w:val="231F20"/>
          <w:sz w:val="20"/>
          <w:szCs w:val="20"/>
          <w:lang w:eastAsia="hr-HR"/>
        </w:rPr>
        <w:t>podregiji</w:t>
      </w:r>
      <w:proofErr w:type="spellEnd"/>
      <w:r w:rsidRPr="007E17BF">
        <w:rPr>
          <w:rFonts w:ascii="Times New Roman" w:eastAsia="Times New Roman" w:hAnsi="Times New Roman"/>
          <w:color w:val="231F20"/>
          <w:sz w:val="20"/>
          <w:szCs w:val="20"/>
          <w:lang w:eastAsia="hr-HR"/>
        </w:rPr>
        <w:t xml:space="preserve"> Jadransko more koje nisu članice Europske unije u skladu s međunarodnim pravom i konvencijama.</w:t>
      </w:r>
    </w:p>
    <w:p w14:paraId="1E2B2351"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Izvještavanje o prostornim planovima morskog područja</w:t>
      </w:r>
    </w:p>
    <w:p w14:paraId="77F68BF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73.</w:t>
      </w:r>
    </w:p>
    <w:p w14:paraId="4863EBF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Ministarstvo je dužno uspostaviti i održavati funkcionalnost poveznice na prostorne planove morskoga područja kroz informacijski sustav kao dio izvještavanja Europske komisije.</w:t>
      </w:r>
    </w:p>
    <w:p w14:paraId="3C5FC117" w14:textId="77777777" w:rsid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Zavod za prostorni razvoj zadužen je za komunikaciju s Europskom komisijom ispred Republike Hrvatske u ispunjavanju obveza prema Direktivi iz članka 2. stavka 1. točke 1. ovoga Zakona.</w:t>
      </w:r>
    </w:p>
    <w:p w14:paraId="2B279651" w14:textId="77777777" w:rsidR="00D2578D"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2E9450FD" w14:textId="77777777" w:rsidR="00D2578D"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4523B489" w14:textId="77777777" w:rsidR="00D2578D"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5DA4CBAD" w14:textId="77777777" w:rsidR="00D2578D"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60C94CC0" w14:textId="77777777" w:rsidR="00D2578D" w:rsidRPr="007E17BF"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407F53D7" w14:textId="02552422" w:rsidR="007E17BF" w:rsidRPr="007E17BF" w:rsidRDefault="007E17BF" w:rsidP="00D2578D">
      <w:pPr>
        <w:pStyle w:val="Naslov3"/>
        <w:rPr>
          <w:lang w:eastAsia="hr-HR"/>
        </w:rPr>
      </w:pPr>
      <w:bookmarkStart w:id="11" w:name="_Toc219166928"/>
      <w:r w:rsidRPr="007E17BF">
        <w:rPr>
          <w:lang w:eastAsia="hr-HR"/>
        </w:rPr>
        <w:lastRenderedPageBreak/>
        <w:t>DIO PETI</w:t>
      </w:r>
      <w:r w:rsidR="00D2578D">
        <w:rPr>
          <w:lang w:eastAsia="hr-HR"/>
        </w:rPr>
        <w:t xml:space="preserve">   </w:t>
      </w:r>
      <w:r w:rsidRPr="007E17BF">
        <w:rPr>
          <w:lang w:eastAsia="hr-HR"/>
        </w:rPr>
        <w:t>DOKUMENTI PROSTORNOG UREĐENJA</w:t>
      </w:r>
      <w:bookmarkEnd w:id="11"/>
    </w:p>
    <w:p w14:paraId="6FC039B1" w14:textId="5A38650C" w:rsidR="007E17BF" w:rsidRPr="007E17BF" w:rsidRDefault="007E17BF" w:rsidP="00D2578D">
      <w:pPr>
        <w:pStyle w:val="Naslov4"/>
        <w:rPr>
          <w:lang w:eastAsia="hr-HR"/>
        </w:rPr>
      </w:pPr>
      <w:bookmarkStart w:id="12" w:name="_Toc219166929"/>
      <w:r w:rsidRPr="007E17BF">
        <w:rPr>
          <w:lang w:eastAsia="hr-HR"/>
        </w:rPr>
        <w:t>GLAVA I.</w:t>
      </w:r>
      <w:r w:rsidR="00D2578D">
        <w:rPr>
          <w:lang w:eastAsia="hr-HR"/>
        </w:rPr>
        <w:t xml:space="preserve">   </w:t>
      </w:r>
      <w:r w:rsidRPr="007E17BF">
        <w:rPr>
          <w:lang w:eastAsia="hr-HR"/>
        </w:rPr>
        <w:t>STRATEGIJA PROSTORNOG RAZVOJA REPUBLIKE HRVATSKE</w:t>
      </w:r>
      <w:bookmarkEnd w:id="12"/>
    </w:p>
    <w:p w14:paraId="3C722C4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Značenje Strategije</w:t>
      </w:r>
    </w:p>
    <w:p w14:paraId="031A0FC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74.</w:t>
      </w:r>
    </w:p>
    <w:p w14:paraId="19DC8A5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Strategija prostornog razvoja Republike Hrvatske (u daljnjem tekstu: Strategija) je temeljni državni dokument za usmjerenje razvoja u prostoru i dokument prostornog uređenja.</w:t>
      </w:r>
    </w:p>
    <w:p w14:paraId="3CB493F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Strategija u svrhu ostvarivanja ciljeva prostornog uređenja u skladu s ukupnim gospodarskim, društvenim i kulturnim razvojem, potrebama i mogućnostima, izraženim u temeljnim državnim razvojnim dokumentima kao što su strategije, planovi i programi koji se donose na temelju posebnih propisa, sukladno načelima prostornog uređenja, određuje dugoročne zadaće prostornog razvoja, strateška usmjerenja razvoja djelatnosti u prostoru, polazišta za koordinaciju njihovih razvojnih mjera u prostoru, kao i prijedlog prioriteta za ostvarivanje ciljeva prostornog uređenja te određuje osnovni sustav razvoja državne infrastrukture.</w:t>
      </w:r>
    </w:p>
    <w:p w14:paraId="769D191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Prostorni planovi, sektorske strategije, programi, planovi i drugi razvojni dokumenti pojedinih gospodarskih i upravnih područja i djelatnosti moraju biti u skladu sa Strategijom.</w:t>
      </w:r>
    </w:p>
    <w:p w14:paraId="03D931B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Mišljenje o sukladnosti pojedine sektorske strategije sa Strategijom daje Ministarstvo.</w:t>
      </w:r>
    </w:p>
    <w:p w14:paraId="3E55451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Sadržaj Strategije</w:t>
      </w:r>
    </w:p>
    <w:p w14:paraId="6847AC9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75.</w:t>
      </w:r>
    </w:p>
    <w:p w14:paraId="20B4E9A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Strategija sadrži:</w:t>
      </w:r>
    </w:p>
    <w:p w14:paraId="5774B2D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viziju prostornog razvoja države s ciljevima usklađenim s drugim nacionalnim razvojnim dokumentima i razvojnim ciljevima Europske unije u dugoročnom razdoblju</w:t>
      </w:r>
    </w:p>
    <w:p w14:paraId="32FDAFA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polazišta prostornog razvoja na temelju prirodnih, gospodarskih, društvenih, kulturnih te okolišnih uvjeta</w:t>
      </w:r>
    </w:p>
    <w:p w14:paraId="494899C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osnovu i organizaciju prostornog razvoja sa smjernicama i prioritetima za postizanje ciljeva prostornog razvoja u funkciji zaštite prostora, očuvanja i unaprjeđenja okoliša</w:t>
      </w:r>
    </w:p>
    <w:p w14:paraId="0140F1D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osnovni sustav razvoja državne infrastrukture</w:t>
      </w:r>
    </w:p>
    <w:p w14:paraId="3389961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razvoj prostornih sustava sa smjernicama za prostorni razvoj na područnoj (regionalnoj) i lokalnoj razini, osobito za razvoj naselja, infrastrukture te zaštitu krajobraza i kulturnih dobara</w:t>
      </w:r>
    </w:p>
    <w:p w14:paraId="404F24C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mjere zaštite okoliša određene u skladu sa Strategijom održivog razvitka Republike Hrvatske.</w:t>
      </w:r>
    </w:p>
    <w:p w14:paraId="3741DAE4"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Izrada, donošenje i objava Strategije</w:t>
      </w:r>
    </w:p>
    <w:p w14:paraId="747725A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76.</w:t>
      </w:r>
    </w:p>
    <w:p w14:paraId="19EC8D2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Ministarstvo izrađuje Strategiju.</w:t>
      </w:r>
    </w:p>
    <w:p w14:paraId="22EFD30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Odluku o pokretanju postupka izrade Strategije donosi Vlada.</w:t>
      </w:r>
    </w:p>
    <w:p w14:paraId="657FA6C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Strategiju donosi Hrvatski sabor.</w:t>
      </w:r>
    </w:p>
    <w:p w14:paraId="6D2E2E6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Strategija se objavljuje u »Narodnim novinama«.</w:t>
      </w:r>
    </w:p>
    <w:p w14:paraId="1FB821C2" w14:textId="382AF752" w:rsidR="007E17BF" w:rsidRPr="007E17BF" w:rsidRDefault="007E17BF" w:rsidP="00D2578D">
      <w:pPr>
        <w:pStyle w:val="Naslov4"/>
        <w:rPr>
          <w:lang w:eastAsia="hr-HR"/>
        </w:rPr>
      </w:pPr>
      <w:bookmarkStart w:id="13" w:name="_Toc219166930"/>
      <w:r w:rsidRPr="007E17BF">
        <w:rPr>
          <w:lang w:eastAsia="hr-HR"/>
        </w:rPr>
        <w:t>GLAVA II.</w:t>
      </w:r>
      <w:r w:rsidR="00D2578D">
        <w:rPr>
          <w:lang w:eastAsia="hr-HR"/>
        </w:rPr>
        <w:t xml:space="preserve">   </w:t>
      </w:r>
      <w:r w:rsidRPr="007E17BF">
        <w:rPr>
          <w:lang w:eastAsia="hr-HR"/>
        </w:rPr>
        <w:t>PROSTORNI PLANOVI</w:t>
      </w:r>
      <w:bookmarkEnd w:id="13"/>
    </w:p>
    <w:p w14:paraId="75F3C340" w14:textId="760A33CF" w:rsidR="007E17BF" w:rsidRPr="007E17BF" w:rsidRDefault="007E17BF" w:rsidP="00D2578D">
      <w:pPr>
        <w:pStyle w:val="Naslov5"/>
        <w:rPr>
          <w:lang w:eastAsia="hr-HR"/>
        </w:rPr>
      </w:pPr>
      <w:bookmarkStart w:id="14" w:name="_Toc219166931"/>
      <w:r w:rsidRPr="007E17BF">
        <w:rPr>
          <w:lang w:eastAsia="hr-HR"/>
        </w:rPr>
        <w:t>POGLAVLJE I.</w:t>
      </w:r>
      <w:r w:rsidR="00D2578D">
        <w:rPr>
          <w:lang w:eastAsia="hr-HR"/>
        </w:rPr>
        <w:t xml:space="preserve">   </w:t>
      </w:r>
      <w:r w:rsidRPr="007E17BF">
        <w:rPr>
          <w:lang w:eastAsia="hr-HR"/>
        </w:rPr>
        <w:t>OPĆE ODREDBE</w:t>
      </w:r>
      <w:bookmarkEnd w:id="14"/>
    </w:p>
    <w:p w14:paraId="23965BC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Predmet prostornih planova</w:t>
      </w:r>
    </w:p>
    <w:p w14:paraId="5A4C6A2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77.</w:t>
      </w:r>
    </w:p>
    <w:p w14:paraId="4091AAE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Prostornim planovima se u svrhu ostvarivanja ciljeva prostornog uređenja i sukladno načelima prostornog uređenja uređuje svrhovita organizacija, korištenje i namjena prostora te uvjeti za uređenje, unaprjeđenje i zaštitu prostora Republike Hrvatske, županija, Grada Zagreba, gradova i općina.</w:t>
      </w:r>
    </w:p>
    <w:p w14:paraId="2F56D52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Prostorni planovi moraju sadržavati kvalitetna i održiva planska rješenja, uz obvezu sagledavanja postojećeg stanja u prostoru, a u postupku njihove izrade i donošenja prema ovom Zakonu osigurati kontinuitet prostornog uređenja, tako da važeći prostorni planovi predstavljaju programska polazišta za izradu novih prostorno-planskih dokumenata.</w:t>
      </w:r>
    </w:p>
    <w:p w14:paraId="313C4CE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Prostornim planovima se, sukladno njihovoj razini i obuhvatu, propisuju uvjeti za gradnju građevina i provedbu drugih zahvata u prostoru na određenoj razini i/ili lokaciji u skladu s kojima se izdaje akt za provedbu zahvata u prostoru (u daljnjem tekstu: uvjeti provedbe zahvata u prostoru), smjernice za izradu prostornih planova užih područja kada je to propisano ovim Zakonom i mjere za urbanu sanaciju, urbanu preobrazbu i urbanu komasaciju ako su potrebne.</w:t>
      </w:r>
    </w:p>
    <w:p w14:paraId="7160016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(4) Prostorni plan unutar svoga obuhvata propisuje uvjete provedbe svih zahvata u prostoru od značaja (državnog, područnog (regionalnog) ili lokalnog) ekvivalentnog razini tog prostornog plana, osim na onim područjima za koja taj prostorni plan sukladno ovom Zakonu određuje smjernice za izradu prostornih planova užih područja.</w:t>
      </w:r>
    </w:p>
    <w:p w14:paraId="0B23B0E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Mjere za urbanu sanaciju propisuju se za područja na kojima se pretežito nalaze zgrade ozakonjene na temelju posebnog zakona, za koja se propisuju svi uvjeti provedbe zahvata u prostoru prostornim planom sukladno ovom Zakonu.</w:t>
      </w:r>
    </w:p>
    <w:p w14:paraId="7347578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Mjere za urbanu preobrazbu propisuju se prostornim planom za izgrađena područje za koja se tim planom planira preobrazba i uvjeti provedbe tih zahvata u prostoru, sukladno ovom Zakonu.</w:t>
      </w:r>
    </w:p>
    <w:p w14:paraId="12F5B14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Sadržaj prostornih planova</w:t>
      </w:r>
    </w:p>
    <w:p w14:paraId="769FE077"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78.</w:t>
      </w:r>
    </w:p>
    <w:p w14:paraId="6E731AF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Prostorni plan je cjeloviti dokument koji sadrži odredbe za provedbu, kartografske prikaze i obrazloženje.</w:t>
      </w:r>
    </w:p>
    <w:p w14:paraId="50DF02C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Odredbama za provedbu prostornog plana propisuju se uvjeti za provedbu zahvata u prostoru, smjernice za izradu prostornih planova užih područja u slučajevima propisanim ovim Zakonom te mjere za urbanu sanaciju, preobrazbu i komasaciju gdje su potrebne.</w:t>
      </w:r>
    </w:p>
    <w:p w14:paraId="167B307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Kartografski prikazi prostornog plana izrađuju se iz izvornika prostornog plana te se sastoje od tematskih karata i na njih vezanih tumača znakova, tj. legendi koji moraju biti usklađeni međusobno, kao i s odredbama za provedbu i obrazloženjem.</w:t>
      </w:r>
    </w:p>
    <w:p w14:paraId="0EFE1AD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Obrazloženje prostornog plana sadrži polazišta (analizu) na temelju kojih se izrađuje prostorni plan, ciljeve prostornog uređenja koji se postižu prostornim planom i obrazloženje cjelovitog stručnog rješenja prostornog plana.</w:t>
      </w:r>
    </w:p>
    <w:p w14:paraId="4558A85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Sadržaj prostornih planova, uredba, nacionalne</w:t>
      </w:r>
      <w:r w:rsidRPr="007E17BF">
        <w:rPr>
          <w:rFonts w:ascii="Times New Roman" w:eastAsia="Times New Roman" w:hAnsi="Times New Roman"/>
          <w:color w:val="231F20"/>
          <w:sz w:val="20"/>
          <w:szCs w:val="20"/>
          <w:lang w:eastAsia="hr-HR"/>
        </w:rPr>
        <w:br/>
        <w:t>smjernice i pravilnik</w:t>
      </w:r>
    </w:p>
    <w:p w14:paraId="753FADB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79.</w:t>
      </w:r>
    </w:p>
    <w:p w14:paraId="26F8D6B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Prostorni planovi, ovisno o razini i obuhvatu te strateškom odnosno provedbenom karakteru, sadrže razgraničenje prostora/površina u odnosu na namjenu i način korištenja prostora/površina (građevinska područja i površina izvan građevinskog područja), režime korištenja površina/prostora (infrastruktura), smjernice odnosno mjere zaštite okoliša i prirode te kulturne baštine i drugih zaštićenih vrijednosti te sve druge potrebne dijelove, s ciljem optimalnog i održivog razmještaja stanovanja, gospodarskih i drugih djelatnosti u prostoru, infrastrukturnih koridora i sustava, zaštite prostora, te provedbe zahvata u prostoru u koju svrhu se prostornim planovima propisuju uvjeti i načini uređenja za sve namjene i načine korištenja površina/prostora odnosno zahvata u prostoru kroz prostorne standarde, prostorne pokazatelje, načine opremanja zemljišta komunalnom infrastrukturom, prikaz zona rizika za rizike utvrđene prema procjeni rizika adekvatne razine te područja i točke pojava prirodnih i antropogenih prijetnji identificiranih procjenom rizika adekvatne razine, na temelju kojih se utvrđuju ograničenja i zabrana gradnje i planiraju mjere smanjenja rizika, a u skladu s kojima se u provedbi zahvata u prostoru određuju lokacijski uvjeti.</w:t>
      </w:r>
    </w:p>
    <w:p w14:paraId="335321F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Zahvate u prostoru i površine od državnog značaja i područnog (regionalnog) značaja koji se ne smatraju građenjem prema posebnim propisima kojima se uređuje gradnja, građevine od državnog značaja i građevine od područnog (regionalnog) značaja određuje Vlada uredbom.</w:t>
      </w:r>
    </w:p>
    <w:p w14:paraId="174A227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Sadržaj prostornih planova, zahvate u prostoru za koje se prostornim planovima obvezno propisuju uvjeti provedbe zahvata u prostoru, način propisivanja uvjeta provedbe zahvata u prostoru, sadržaj namjena pojedinih zona i koridora koje se planiraju u prostornim planovima i namjena građevina koje se u njima mogu graditi, obvezne prostorne pokazatelje, obvezne prostorne standarde i pojmovnik prostornog uređenja propisuje ministar pravilnikom odnosno pravilnicima.</w:t>
      </w:r>
    </w:p>
    <w:p w14:paraId="1219427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(4) Sadržaj i struktura prostornih slojeva, mjerila kartografskih prikaza, topološka i druga pravila za validaciju prostornih slojeva prostornog plana te elektronički standard prostornih planova određeni su tehničkim rješenjem modula </w:t>
      </w:r>
      <w:proofErr w:type="spellStart"/>
      <w:r w:rsidRPr="007E17BF">
        <w:rPr>
          <w:rFonts w:ascii="Times New Roman" w:eastAsia="Times New Roman" w:hAnsi="Times New Roman"/>
          <w:color w:val="231F20"/>
          <w:sz w:val="20"/>
          <w:szCs w:val="20"/>
          <w:lang w:eastAsia="hr-HR"/>
        </w:rPr>
        <w:t>ePlanovi</w:t>
      </w:r>
      <w:proofErr w:type="spellEnd"/>
      <w:r w:rsidRPr="007E17BF">
        <w:rPr>
          <w:rFonts w:ascii="Times New Roman" w:eastAsia="Times New Roman" w:hAnsi="Times New Roman"/>
          <w:color w:val="231F20"/>
          <w:sz w:val="20"/>
          <w:szCs w:val="20"/>
          <w:lang w:eastAsia="hr-HR"/>
        </w:rPr>
        <w:t xml:space="preserve"> i </w:t>
      </w:r>
      <w:proofErr w:type="spellStart"/>
      <w:r w:rsidRPr="007E17BF">
        <w:rPr>
          <w:rFonts w:ascii="Times New Roman" w:eastAsia="Times New Roman" w:hAnsi="Times New Roman"/>
          <w:color w:val="231F20"/>
          <w:sz w:val="20"/>
          <w:szCs w:val="20"/>
          <w:lang w:eastAsia="hr-HR"/>
        </w:rPr>
        <w:t>ePlanovi</w:t>
      </w:r>
      <w:proofErr w:type="spellEnd"/>
      <w:r w:rsidRPr="007E17BF">
        <w:rPr>
          <w:rFonts w:ascii="Times New Roman" w:eastAsia="Times New Roman" w:hAnsi="Times New Roman"/>
          <w:color w:val="231F20"/>
          <w:sz w:val="20"/>
          <w:szCs w:val="20"/>
          <w:lang w:eastAsia="hr-HR"/>
        </w:rPr>
        <w:t xml:space="preserve"> Editor.</w:t>
      </w:r>
    </w:p>
    <w:p w14:paraId="6E17A62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Nacionalne smjernice Republike Hrvatske izrađuju se po potrebi za pojedine teme iz područja prostornog uređenja kojima se određuju ciljevi, standardi prostornog planiranja i tehnički uvjeti za unapređenje kvalitete prostora, arhitekture i građenja, a donosi ih ministar.</w:t>
      </w:r>
    </w:p>
    <w:p w14:paraId="1C4DCE4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Mjere ublažavanja radi zaštite okoliša i prirode</w:t>
      </w:r>
    </w:p>
    <w:p w14:paraId="6FEE745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80.</w:t>
      </w:r>
    </w:p>
    <w:p w14:paraId="29F240E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Mjere ublažavanja za provedbu zahvata i gradnju građevina na području određenom propisom kojim se uređuje zaštita okoliša i prirode te mjere za postizanje ciljeva obnove prirode određuju se na temelju posebnih propisa u postupku izrade tog plana.</w:t>
      </w:r>
    </w:p>
    <w:p w14:paraId="4DB12F0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Mjere smanjenja rizika</w:t>
      </w:r>
    </w:p>
    <w:p w14:paraId="21669144"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81.</w:t>
      </w:r>
    </w:p>
    <w:p w14:paraId="76DF902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(1) Područja koja su procjenom rizika od katastrofa, provedenom sukladno posebnim propisima, identificirana i okarakterizirana kao područja vrlo visokog ili visokog rizika i točke pojava prirodnih i antropogenih prijetnji </w:t>
      </w:r>
      <w:r w:rsidRPr="007E17BF">
        <w:rPr>
          <w:rFonts w:ascii="Times New Roman" w:eastAsia="Times New Roman" w:hAnsi="Times New Roman"/>
          <w:color w:val="231F20"/>
          <w:sz w:val="20"/>
          <w:szCs w:val="20"/>
          <w:lang w:eastAsia="hr-HR"/>
        </w:rPr>
        <w:lastRenderedPageBreak/>
        <w:t xml:space="preserve">odgovarajuće razine pojedinog identificiranog rizika, moraju biti sadržana i odgovarajuće prikazana u prostornom planu, uključujući potrebne strukturne i </w:t>
      </w:r>
      <w:proofErr w:type="spellStart"/>
      <w:r w:rsidRPr="007E17BF">
        <w:rPr>
          <w:rFonts w:ascii="Times New Roman" w:eastAsia="Times New Roman" w:hAnsi="Times New Roman"/>
          <w:color w:val="231F20"/>
          <w:sz w:val="20"/>
          <w:szCs w:val="20"/>
          <w:lang w:eastAsia="hr-HR"/>
        </w:rPr>
        <w:t>nestrukturne</w:t>
      </w:r>
      <w:proofErr w:type="spellEnd"/>
      <w:r w:rsidRPr="007E17BF">
        <w:rPr>
          <w:rFonts w:ascii="Times New Roman" w:eastAsia="Times New Roman" w:hAnsi="Times New Roman"/>
          <w:color w:val="231F20"/>
          <w:sz w:val="20"/>
          <w:szCs w:val="20"/>
          <w:lang w:eastAsia="hr-HR"/>
        </w:rPr>
        <w:t xml:space="preserve"> mjere te smjernice i preporuke za smanjenje rizika, ovisno o razini utvrđenih rizika, radi omogućavanja provedbe zahvata uz propisana ograničenja odnosno zabrane gradnje.</w:t>
      </w:r>
    </w:p>
    <w:p w14:paraId="79A9253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(2) U postupku izrade prostornih planova, ovisno o vrsti identificirane prijetnje i razini utvrđenih rizika, strukturne i </w:t>
      </w:r>
      <w:proofErr w:type="spellStart"/>
      <w:r w:rsidRPr="007E17BF">
        <w:rPr>
          <w:rFonts w:ascii="Times New Roman" w:eastAsia="Times New Roman" w:hAnsi="Times New Roman"/>
          <w:color w:val="231F20"/>
          <w:sz w:val="20"/>
          <w:szCs w:val="20"/>
          <w:lang w:eastAsia="hr-HR"/>
        </w:rPr>
        <w:t>nestrukturne</w:t>
      </w:r>
      <w:proofErr w:type="spellEnd"/>
      <w:r w:rsidRPr="007E17BF">
        <w:rPr>
          <w:rFonts w:ascii="Times New Roman" w:eastAsia="Times New Roman" w:hAnsi="Times New Roman"/>
          <w:color w:val="231F20"/>
          <w:sz w:val="20"/>
          <w:szCs w:val="20"/>
          <w:lang w:eastAsia="hr-HR"/>
        </w:rPr>
        <w:t xml:space="preserve"> mjere odnosno smjernice i preporuke propisuju se na sljedeći način i u skladu sa zahtjevima javnopravnih tijela zaprimljenim u postupku izrade tih prostornih planova:</w:t>
      </w:r>
    </w:p>
    <w:p w14:paraId="6904B58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1. za područja vrlo visokog ili visokog rizika propisuju se strukturne i </w:t>
      </w:r>
      <w:proofErr w:type="spellStart"/>
      <w:r w:rsidRPr="007E17BF">
        <w:rPr>
          <w:rFonts w:ascii="Times New Roman" w:eastAsia="Times New Roman" w:hAnsi="Times New Roman"/>
          <w:color w:val="231F20"/>
          <w:sz w:val="20"/>
          <w:szCs w:val="20"/>
          <w:lang w:eastAsia="hr-HR"/>
        </w:rPr>
        <w:t>nestrukturne</w:t>
      </w:r>
      <w:proofErr w:type="spellEnd"/>
      <w:r w:rsidRPr="007E17BF">
        <w:rPr>
          <w:rFonts w:ascii="Times New Roman" w:eastAsia="Times New Roman" w:hAnsi="Times New Roman"/>
          <w:color w:val="231F20"/>
          <w:sz w:val="20"/>
          <w:szCs w:val="20"/>
          <w:lang w:eastAsia="hr-HR"/>
        </w:rPr>
        <w:t xml:space="preserve"> mjere smanjenja rizika</w:t>
      </w:r>
    </w:p>
    <w:p w14:paraId="74B49EB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za područja niskog ili vrlo niskog rizika propisuju se smjernice i preporuke.</w:t>
      </w:r>
    </w:p>
    <w:p w14:paraId="503A6FF5"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Pravna priroda prostornih planova</w:t>
      </w:r>
    </w:p>
    <w:p w14:paraId="6CE5E5F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82.</w:t>
      </w:r>
    </w:p>
    <w:p w14:paraId="4AB3238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Prostorni planovi imaju snagu i pravnu prirodu podzakonskog propisa.</w:t>
      </w:r>
    </w:p>
    <w:p w14:paraId="55667E8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Na prostornim planovima, njihovim nacrtima prijedloga i prostorno-planskim rješenjima ne mogu se stjecati autorska prava.</w:t>
      </w:r>
    </w:p>
    <w:p w14:paraId="5811F43D"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Oblik prostornih planova</w:t>
      </w:r>
    </w:p>
    <w:p w14:paraId="43D39C2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83.</w:t>
      </w:r>
    </w:p>
    <w:p w14:paraId="281A75C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Prostorni planovi izrađuju se i donose u informacijskom sustavu putem modula </w:t>
      </w:r>
      <w:proofErr w:type="spellStart"/>
      <w:r w:rsidRPr="007E17BF">
        <w:rPr>
          <w:rFonts w:ascii="Times New Roman" w:eastAsia="Times New Roman" w:hAnsi="Times New Roman"/>
          <w:color w:val="231F20"/>
          <w:sz w:val="20"/>
          <w:szCs w:val="20"/>
          <w:lang w:eastAsia="hr-HR"/>
        </w:rPr>
        <w:t>ePlanovi</w:t>
      </w:r>
      <w:proofErr w:type="spellEnd"/>
      <w:r w:rsidRPr="007E17BF">
        <w:rPr>
          <w:rFonts w:ascii="Times New Roman" w:eastAsia="Times New Roman" w:hAnsi="Times New Roman"/>
          <w:color w:val="231F20"/>
          <w:sz w:val="20"/>
          <w:szCs w:val="20"/>
          <w:lang w:eastAsia="hr-HR"/>
        </w:rPr>
        <w:t xml:space="preserve"> i </w:t>
      </w:r>
      <w:proofErr w:type="spellStart"/>
      <w:r w:rsidRPr="007E17BF">
        <w:rPr>
          <w:rFonts w:ascii="Times New Roman" w:eastAsia="Times New Roman" w:hAnsi="Times New Roman"/>
          <w:color w:val="231F20"/>
          <w:sz w:val="20"/>
          <w:szCs w:val="20"/>
          <w:lang w:eastAsia="hr-HR"/>
        </w:rPr>
        <w:t>ePlanovi</w:t>
      </w:r>
      <w:proofErr w:type="spellEnd"/>
      <w:r w:rsidRPr="007E17BF">
        <w:rPr>
          <w:rFonts w:ascii="Times New Roman" w:eastAsia="Times New Roman" w:hAnsi="Times New Roman"/>
          <w:color w:val="231F20"/>
          <w:sz w:val="20"/>
          <w:szCs w:val="20"/>
          <w:lang w:eastAsia="hr-HR"/>
        </w:rPr>
        <w:t xml:space="preserve"> editor.</w:t>
      </w:r>
    </w:p>
    <w:p w14:paraId="1A247B6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Razine prostornih planova</w:t>
      </w:r>
    </w:p>
    <w:p w14:paraId="049EF5C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84.</w:t>
      </w:r>
    </w:p>
    <w:p w14:paraId="6147F1E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Prostorni planovi donose se na državnoj, područnoj (regionalnoj) i lokalnoj razini.</w:t>
      </w:r>
    </w:p>
    <w:p w14:paraId="20188C4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Prostorni planovi državne razine su Državni plan prostornog razvoja, prostorni planovi područja posebnih obilježja i urbanistički plan uređenja od državnog značaja.</w:t>
      </w:r>
    </w:p>
    <w:p w14:paraId="68CB4E3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Prostorni planovi područne (regionalne) razine su prostorni plan županije, Prostorni plan Grada Zagreba i urbanistički plan uređenja od županijskog značaja.</w:t>
      </w:r>
    </w:p>
    <w:p w14:paraId="5A83C76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Prostorni planovi lokalne razine su prostorni plan uređenja grada odnosno općine, generalni urbanistički plan i urbanistički plan uređenja.</w:t>
      </w:r>
    </w:p>
    <w:p w14:paraId="0C85A23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Usklađenost prostornih planova</w:t>
      </w:r>
    </w:p>
    <w:p w14:paraId="7DAC2197"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85.</w:t>
      </w:r>
    </w:p>
    <w:p w14:paraId="4F919E5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Prostorni plan mora biti u skladu s ovim Zakonom.</w:t>
      </w:r>
    </w:p>
    <w:p w14:paraId="2074F6A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Prostorni plan niže razine mora biti usklađen s prostornim planom više razine.</w:t>
      </w:r>
    </w:p>
    <w:p w14:paraId="4228411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Prostorni plan užega područja mora biti usklađen s prostornim planom širega područja iste razine.</w:t>
      </w:r>
    </w:p>
    <w:p w14:paraId="1D55B49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Prostorni planovi iste razine moraju biti međusobno usklađeni.</w:t>
      </w:r>
    </w:p>
    <w:p w14:paraId="7BFE0F9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Iznimno od stavka 3. ovoga članka, prostornim planom lokalne razine užeg područja mogu se propisati stroži kvantitativni i kvalitativni uvjeti i mjere za provedbu zahvata u prostoru odnosno viši prostorni standardi od onih propisanih prostornim planom lokalne razine šireg područja, što se ne smatra neusklađenošću između prostornih planova.</w:t>
      </w:r>
    </w:p>
    <w:p w14:paraId="5CAA2FE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Ako se sukladno odredbama ovoga Zakona prostorni plan uređenja općine/grada donosi prije prostornog plana županije, prostorni plan uređenja općine/grada može planirati sve sadržaje i namjene određene ovim Zakonom i pravilnikom iz članka 79. stavka 3. ovoga Zakona uz uvjet usklađenosti s najvećim dopuštenim površinama i kapacitetima određenim važećim prostornim planom županije za sve zahvate u prostoru, namjene i načine korištenja za koje prostornim planom županije nije određen županijski značaj.</w:t>
      </w:r>
    </w:p>
    <w:p w14:paraId="07FBEB5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Postupak osiguravanja usklađenosti</w:t>
      </w:r>
    </w:p>
    <w:p w14:paraId="667F195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86.</w:t>
      </w:r>
    </w:p>
    <w:p w14:paraId="34FC81D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Jedinice lokalne i područne (regionalne) samouprave dužne su osigurati međusobnu usklađenost prostornih planova sukladno članku 85. ovoga Zakona.</w:t>
      </w:r>
    </w:p>
    <w:p w14:paraId="560ED1E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Ako Ministarstvo utvrdi neusklađenost prostornih planova prema članku 85. stavcima 1. do 4. ovoga Zakona, naredit će rješenjem nadležnoj jedinici lokalne ili područne (regionalne) samouprave početak postupka za otklanjanje neusklađenosti u roku od 90 dana.</w:t>
      </w:r>
    </w:p>
    <w:p w14:paraId="119763D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Protiv rješenja iz stavka 2. ovoga članka ne može se izjaviti žalba, ali se može pokrenuti upravni spor.</w:t>
      </w:r>
    </w:p>
    <w:p w14:paraId="77DEB9B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Jedinice lokalne i područne (regionalne) samouprave dužne su od zaprimanja rješenja Ministarstva iz stavka 2. ovoga članka u roku od 30 dana donijeti odluku o izradi izmjene i dopune neusklađenih prostornih planova u svrhu njihova usklađivanja te ih uskladiti u roku od 180 dana.</w:t>
      </w:r>
    </w:p>
    <w:p w14:paraId="3686EC8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(5) Ako jedinica lokalne i područne (regionalne) samouprave, nakon dobivenog rješenja iz stavka 2. ovoga članka ne postupi na način propisan u stavku 4. ovoga članka odnosno ako ne ispravi neusklađenost u roku propisanom rješenjem iz stavka 2. ovoga članka, Ministarstvo će takav neusklađeni prostorni plan obustaviti od primjene, a prilikom izdavanja </w:t>
      </w:r>
      <w:r w:rsidRPr="007E17BF">
        <w:rPr>
          <w:rFonts w:ascii="Times New Roman" w:eastAsia="Times New Roman" w:hAnsi="Times New Roman"/>
          <w:color w:val="231F20"/>
          <w:sz w:val="20"/>
          <w:szCs w:val="20"/>
          <w:lang w:eastAsia="hr-HR"/>
        </w:rPr>
        <w:lastRenderedPageBreak/>
        <w:t>akata za provedbu zahvata u prostoru primijenit će se odredbe ovoga Zakona i odredbe plana više razine odnosno šireg područja.</w:t>
      </w:r>
    </w:p>
    <w:p w14:paraId="712C010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Nakon donesene odluke o obustavi od primjene, Ministarstvo u roku od 30 dana od donošenja odluke o obustavi podnosi zahtjev Visokom upravnom sudu Republike Hrvatske za ocjenu zakonitosti prostornog plana ili njegove pojedine odredbe koja nije u skladu s člankom 85. ovoga Zakona.</w:t>
      </w:r>
    </w:p>
    <w:p w14:paraId="4030668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Financiranje</w:t>
      </w:r>
    </w:p>
    <w:p w14:paraId="1BD9FB9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87.</w:t>
      </w:r>
    </w:p>
    <w:p w14:paraId="1496CD8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Sredstva za izradu stručnih podloga određenih u Izvješću o stanju u prostoru i prostornog plana koji donosi Hrvatski sabor osiguravaju se u državnom proračunu Republike Hrvatske, a prostornog plana koji donosi Vlada u državnom proračunu Republike Hrvatske i iz drugih izvora sukladno ovom Zakonu.</w:t>
      </w:r>
    </w:p>
    <w:p w14:paraId="78580B9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Sredstva za izradu prostornog plana koji donosi predstavničko tijelo jedinice lokalne ili područne (regionalne) samouprave osiguravaju se iz sredstava državnog proračuna i proračuna jedinica lokalne odnosno područne (regionalne) samouprave te iz drugih izvora sukladno zakonu.</w:t>
      </w:r>
    </w:p>
    <w:p w14:paraId="64C24FC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Sredstva za izradu urbanističkog i infrastrukturnog projekta državne razine osiguravaju se iz sredstava državnog proračuna, sredstva za izradu urbanističkog projekta područne (regionalne) razine iz proračuna područne (regionalne) samouprave, a sredstva za izradu urbanističkog projekta lokalne razine iz proračuna jedinica lokalne samouprave te iz drugih izvora sukladno zakonu.</w:t>
      </w:r>
    </w:p>
    <w:p w14:paraId="0D7AE1D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Dostupnost prostornih planova</w:t>
      </w:r>
    </w:p>
    <w:p w14:paraId="3E37454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88.</w:t>
      </w:r>
    </w:p>
    <w:p w14:paraId="6968BF6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Prostorni planovi moraju biti dostupni na uvid javnosti, osim u dijelu sadržaja koji je prema posebnom zakonu povjerljive naravi.</w:t>
      </w:r>
    </w:p>
    <w:p w14:paraId="7282D43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Dostupnost javnosti prostornog plana tijekom njegove izrade, donošenja i važenja osigurava se putem informacijskog sustava u skladu sa stavkom 1. ovoga članka.</w:t>
      </w:r>
    </w:p>
    <w:p w14:paraId="2015067F" w14:textId="27D35423" w:rsidR="007E17BF" w:rsidRPr="007E17BF" w:rsidRDefault="007E17BF" w:rsidP="00D2578D">
      <w:pPr>
        <w:pStyle w:val="Naslov5"/>
        <w:rPr>
          <w:lang w:eastAsia="hr-HR"/>
        </w:rPr>
      </w:pPr>
      <w:bookmarkStart w:id="15" w:name="_Toc219166932"/>
      <w:r w:rsidRPr="007E17BF">
        <w:rPr>
          <w:lang w:eastAsia="hr-HR"/>
        </w:rPr>
        <w:t>POGLAVLJE II.</w:t>
      </w:r>
      <w:r w:rsidR="00D2578D">
        <w:rPr>
          <w:lang w:eastAsia="hr-HR"/>
        </w:rPr>
        <w:t xml:space="preserve">   </w:t>
      </w:r>
      <w:r w:rsidRPr="007E17BF">
        <w:rPr>
          <w:lang w:eastAsia="hr-HR"/>
        </w:rPr>
        <w:t>NATJEČAJI IZ PODRUČJA ARHITEKTURE I URBANIZMA</w:t>
      </w:r>
      <w:bookmarkEnd w:id="15"/>
    </w:p>
    <w:p w14:paraId="61A703F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Općenito</w:t>
      </w:r>
    </w:p>
    <w:p w14:paraId="5F50D02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89.</w:t>
      </w:r>
    </w:p>
    <w:p w14:paraId="3A4F7BA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Natječaji iz područja arhitekture i urbanizma provode se na zahtjev naručitelja s ciljem osiguranja načela vrsnoće gradnje na području Republike Hrvatske, a koji ne obuhvaćaju zahvate u prostoru i građevine koje projektiraju druge inženjerske struke.</w:t>
      </w:r>
    </w:p>
    <w:p w14:paraId="1647BB0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Natječaji iz područja arhitekture i urbanizma mogu biti arhitektonski ili urbanistički.</w:t>
      </w:r>
    </w:p>
    <w:p w14:paraId="58DF54C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Natječaj se može provoditi istodobno kao arhitektonsko-ur</w:t>
      </w:r>
      <w:r w:rsidRPr="007E17BF">
        <w:rPr>
          <w:rFonts w:ascii="Times New Roman" w:eastAsia="Times New Roman" w:hAnsi="Times New Roman"/>
          <w:color w:val="231F20"/>
          <w:sz w:val="20"/>
          <w:szCs w:val="20"/>
          <w:lang w:eastAsia="hr-HR"/>
        </w:rPr>
        <w:softHyphen/>
        <w:t>banistički.</w:t>
      </w:r>
    </w:p>
    <w:p w14:paraId="0AC3866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Kada se natječaj iz područja arhitekture i urbanizma provodi za zahvate u prostoru od značaja za Republiku Hrvatsku, nadležno tijelo za provedbu odnosno koordinaciju provedbe natječaja je Zavod za prostorni razvoj.</w:t>
      </w:r>
    </w:p>
    <w:p w14:paraId="0A089EF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Postupak pripreme i provedbe natječaja iz područja arhitekture i urbanizma s rokovima, provoditelja i ostale sudionike natječaja, vrste natječaja, sadržaj natječajne dokumentacije, način ocjenjivanja i rangiranja natječajnih rješenja, uvjete dodjele nagrade i priznanja, troškove i ostale uvjete za provedbu natječaja propisuje ministar pravilnikom na prijedlog Hrvatske komore arhitekata.</w:t>
      </w:r>
    </w:p>
    <w:p w14:paraId="07C68F3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Urbanistički natječaji</w:t>
      </w:r>
    </w:p>
    <w:p w14:paraId="677120F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90.</w:t>
      </w:r>
    </w:p>
    <w:p w14:paraId="7A0BC5A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Urbanistički natječaji propisuju se i provode u stručnom području prostornog i/ili urbanističkog planiranja te krajobraznog uređenja za izradu planskih rješenja kao stručnih podloga za izradu prostornog plana i provode se prije donošenja odluke o izradi prostornog plana.</w:t>
      </w:r>
    </w:p>
    <w:p w14:paraId="30AB856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Nositelj izrade prostornog plana iz stavka 1. ovoga članka je naručitelj urbanističkog natječaja.</w:t>
      </w:r>
    </w:p>
    <w:p w14:paraId="3F293DC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Obveza provedbe urbanističkog natječaja propisuje se dokumentom prostornog uređenja.</w:t>
      </w:r>
    </w:p>
    <w:p w14:paraId="2C34873D"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Arhitektonski natječaji</w:t>
      </w:r>
    </w:p>
    <w:p w14:paraId="7634F79D"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91.</w:t>
      </w:r>
    </w:p>
    <w:p w14:paraId="690C34A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Obveza provedbe arhitektonskog natječaja propisuje se prostornim planovima, i to za:</w:t>
      </w:r>
    </w:p>
    <w:p w14:paraId="144DA76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zgrade javne i društvene namjene</w:t>
      </w:r>
    </w:p>
    <w:p w14:paraId="021B794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druge zahvate u prostoru od osobite važnosti za sliku naselja ili krajobraz određen prostornim planom.</w:t>
      </w:r>
    </w:p>
    <w:p w14:paraId="73094DD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Arhitektonski natječaj iz stavka 1. ovoga članka može se raspisati samo za poslove projektiranja, krajobraznog uređenja i oblikovanja prostora koji odgovaraju zadaćama arhitektonske struke propisanima zakonom kojim se uređuju poslovi i djelatnosti prostornog uređenja i gradnje.</w:t>
      </w:r>
    </w:p>
    <w:p w14:paraId="46FD481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Natječajno rješenje predstavlja stručno rješenje za izradu projektne dokumentacije u svrhu ishođenja akata za provedbu zahvata u prostoru.</w:t>
      </w:r>
    </w:p>
    <w:p w14:paraId="7DC48B3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 xml:space="preserve">(4) Arhitektonski natječaj iz stavka 1. ovoga članka nakon kojeg slijedi ishođenje akata za provedbu zahvata u prostoru, ne može se raspisati ako prostornim planom odgovarajuće razine za područje za koje se provodi taj natječaj nisu određeni osnovni prostorni pokazatelji kao što su </w:t>
      </w:r>
      <w:proofErr w:type="spellStart"/>
      <w:r w:rsidRPr="007E17BF">
        <w:rPr>
          <w:rFonts w:ascii="Times New Roman" w:eastAsia="Times New Roman" w:hAnsi="Times New Roman"/>
          <w:color w:val="231F20"/>
          <w:sz w:val="20"/>
          <w:szCs w:val="20"/>
          <w:lang w:eastAsia="hr-HR"/>
        </w:rPr>
        <w:t>kig</w:t>
      </w:r>
      <w:proofErr w:type="spellEnd"/>
      <w:r w:rsidRPr="007E17BF">
        <w:rPr>
          <w:rFonts w:ascii="Times New Roman" w:eastAsia="Times New Roman" w:hAnsi="Times New Roman"/>
          <w:color w:val="231F20"/>
          <w:sz w:val="20"/>
          <w:szCs w:val="20"/>
          <w:lang w:eastAsia="hr-HR"/>
        </w:rPr>
        <w:t>, kis, visina i dr., osim za zahvate u prostoru javne, društvene i sportsko-rekreacijske namjene.</w:t>
      </w:r>
    </w:p>
    <w:p w14:paraId="781E123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Ako je obveza arhitektonskog natječaja propisana prostornim planom koji ne sadrži osnovne prostorne pokazatelje iz stavka 4. ovoga članka, ne postoji obveza provedbe arhitektonskog natječaja.</w:t>
      </w:r>
    </w:p>
    <w:p w14:paraId="34AE131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Arhitektonski natječaj nije obvezan za građevine nacionalne kritične infrastrukture te za građevine sigurnosno-obavještajnog sustava.</w:t>
      </w:r>
    </w:p>
    <w:p w14:paraId="1520038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Rokovi i sredstva za provedbu natječaja iz područja arhitekture i urbanizma</w:t>
      </w:r>
    </w:p>
    <w:p w14:paraId="0832EF5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92.</w:t>
      </w:r>
    </w:p>
    <w:p w14:paraId="2513912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Natječaji za javne naručitelje provode se u postupcima i po kriterijima javne nabave.</w:t>
      </w:r>
    </w:p>
    <w:p w14:paraId="7AB53F4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Natječaj za ostale naručitelje mora se objaviti u roku od 30 dana od dana zaprimanja urednog zahtjeva.</w:t>
      </w:r>
    </w:p>
    <w:p w14:paraId="1648FE5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Rok za izradu natječajnih rješenja iznosi do 120 dana ovisno o veličini i složenosti građevine, vrsti natječaja, natječajnom programu i investicijskoj vrijednosti građevine.</w:t>
      </w:r>
    </w:p>
    <w:p w14:paraId="0951A24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Odluka o rezultatima natječaja za naručitelje koji nisu obveznici javne nabave donosi se u roku od najviše 60 dana od dana dostave natječajnih rješenja.</w:t>
      </w:r>
    </w:p>
    <w:p w14:paraId="1BCB356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Smatra se da obveze provedbe natječaja iz područja urbanizma i arhitekture nema ako se ne objavi natječaj u roku iz stavka 2. ovoga članka ili ako se ne odabere natječajno rješenje u rokovima iz stavka 4. ovoga članka.</w:t>
      </w:r>
    </w:p>
    <w:p w14:paraId="5DCC0EA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Sredstva za provedbu natječaja iz područja arhitekture i urbanizma osiguravaju se iz sredstava proračuna jedinica lokalne odnosno područne (regionalne) samouprave, državnog proračuna ili iz sredstava ostalih naručitelja.</w:t>
      </w:r>
    </w:p>
    <w:p w14:paraId="7859ED0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Ostalim naručiteljima u čije ime se provodi natječaj iz područja arhitekture i urbanizma tijekom postupka izdavanja građevinske dozvole umanjuje se iznos komunalnog doprinosa u visini troška provedbe natječaja iz područja arhitekture i urbanizma, a koji su isti dužni platiti za gradnju svojih građevina i/ili zahvata u prostoru.</w:t>
      </w:r>
    </w:p>
    <w:p w14:paraId="2CE7551A" w14:textId="25DA24E3" w:rsidR="007E17BF" w:rsidRPr="007E17BF" w:rsidRDefault="007E17BF" w:rsidP="00D2578D">
      <w:pPr>
        <w:pStyle w:val="Naslov5"/>
        <w:rPr>
          <w:lang w:eastAsia="hr-HR"/>
        </w:rPr>
      </w:pPr>
      <w:bookmarkStart w:id="16" w:name="_Toc219166933"/>
      <w:r w:rsidRPr="007E17BF">
        <w:rPr>
          <w:lang w:eastAsia="hr-HR"/>
        </w:rPr>
        <w:t>POGLAVLJE III.</w:t>
      </w:r>
      <w:r w:rsidR="00D2578D">
        <w:rPr>
          <w:lang w:eastAsia="hr-HR"/>
        </w:rPr>
        <w:t xml:space="preserve">   </w:t>
      </w:r>
      <w:r w:rsidRPr="007E17BF">
        <w:rPr>
          <w:lang w:eastAsia="hr-HR"/>
        </w:rPr>
        <w:t>PROSTORNI PLANOVI DRŽAVNE RAZINE</w:t>
      </w:r>
      <w:bookmarkEnd w:id="16"/>
    </w:p>
    <w:p w14:paraId="41B8906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Državni plan prostornog razvoja</w:t>
      </w:r>
    </w:p>
    <w:p w14:paraId="60887D9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93.</w:t>
      </w:r>
    </w:p>
    <w:p w14:paraId="6F479A5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Državni plan prostornog razvoja je strateški prostorni plan kojim se usmjerava prostorni razvoj cjelokupnog teritorija Republike Hrvatske.</w:t>
      </w:r>
    </w:p>
    <w:p w14:paraId="28F9FA0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Državni plan prostornog razvoja može se donijeti za područje pojedine županije odnosno Grada Zagreba ili kao provedbeni plan za jednu ili više građevina i/ili prostornih cjelina od državnog značaja.</w:t>
      </w:r>
    </w:p>
    <w:p w14:paraId="18FA2F1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Odlukom o izradi Državnog plana prostornog razvoja može se za stručnog izrađivača dijela Državnog plana prostornog razvoja iz stavka 2. ovoga članka odrediti zavod za prostorno uređenje županije odnosno Grada Zagreba.</w:t>
      </w:r>
    </w:p>
    <w:p w14:paraId="50EC8C6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Izrada prostornih planova državne razine i izdavanje akata za njihovu provedbu su poslovi od posebnog interesa za Republiku Hrvatsku.</w:t>
      </w:r>
    </w:p>
    <w:p w14:paraId="1DD3DEA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Sadržaj Državnog plana prostornog razvoja</w:t>
      </w:r>
    </w:p>
    <w:p w14:paraId="6410A6B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94.</w:t>
      </w:r>
    </w:p>
    <w:p w14:paraId="6DD7DD3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Državnim planom prostornog razvoja utvrđuju se mjere i aktivnosti za provođenje Strategije.</w:t>
      </w:r>
    </w:p>
    <w:p w14:paraId="0D4D9B8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Državni plan prostornog razvoja sadrži osnovne ciljeve razvoja u prostoru, kriterije i smjernice za uređenje prostornih i drugih cjelina, prijedlog prioriteta za ostvarivanje ciljeva prostornog uređenja, te na temelju prirodnih, gospodarskih, društvenih i kulturnih polazišta određuje osnovu za organizaciju, zaštitu, korištenje i namjenu prostora, zaštitu i unapređenje okoliša, sustav središnjih naselja, i sustav razvojne državne infrastrukture.</w:t>
      </w:r>
    </w:p>
    <w:p w14:paraId="75549E9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Državni plan prostornog razvoja određuje:</w:t>
      </w:r>
    </w:p>
    <w:p w14:paraId="4A56416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osobito vrijedno zemljište namijenjeno poljoprivredi od državnog značaja</w:t>
      </w:r>
    </w:p>
    <w:p w14:paraId="6A171DB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zemljišta namijenjena šumi i šumsko zemljište od državnog značaja</w:t>
      </w:r>
    </w:p>
    <w:p w14:paraId="13DD1DB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koridore infrastrukture od državnog značaja</w:t>
      </w:r>
    </w:p>
    <w:p w14:paraId="24CA2D4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zone namijenjene istraživanju i eksploataciji mineralnih sirovina</w:t>
      </w:r>
    </w:p>
    <w:p w14:paraId="7B37EC4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zone namijenjene eksploataciji ugljikovodika, geotermalne vode, podzemnom skladištenju plina i trajnom zbrinjavanju ugljikova dioksida u geološkim strukturama</w:t>
      </w:r>
    </w:p>
    <w:p w14:paraId="2B70912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područja posebne namjene</w:t>
      </w:r>
    </w:p>
    <w:p w14:paraId="187D368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izdvojena građevinska područja izvan naselja za gospodarsku i javnu namjenu od državnog značaja</w:t>
      </w:r>
    </w:p>
    <w:p w14:paraId="16A2673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8. površine drugih namjena od državnog značaja određene uredbom iz članka 79. stavka 2. ovoga Zakona</w:t>
      </w:r>
    </w:p>
    <w:p w14:paraId="6F5F427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9. smjernice za izradu urbanističkih planova uređenja od državnog značaja</w:t>
      </w:r>
    </w:p>
    <w:p w14:paraId="3486792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10. smjernice za izradu prostornih planova područja posebnih obilježja.</w:t>
      </w:r>
    </w:p>
    <w:p w14:paraId="25E2621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Prostorni plan područja posebnih obilježja</w:t>
      </w:r>
    </w:p>
    <w:p w14:paraId="78D9406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95.</w:t>
      </w:r>
    </w:p>
    <w:p w14:paraId="41879C0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Prostorni planovi područja posebnih obilježja su strateški i provedbeni planovi, i to: Prostorni plan isključivoga gospodarskog pojasa Republike Hrvatske, prostorni plan nacionalnog parka, prostorni plan parka prirode i prostorni plan područja posebnih obilježja određen Državnim planom prostornog razvoja.</w:t>
      </w:r>
    </w:p>
    <w:p w14:paraId="0A79D42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Prostorni plan područja posebnih obilježja izrađuje se i donosi ovisno o posebnostima prirodnih, kulturno-povijesnih, gospodarskih i/ili drugih obilježja odnosno zahtjeva određenog prostora.</w:t>
      </w:r>
    </w:p>
    <w:p w14:paraId="7ECD59B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Sadržaj prostornog plana područja posebnih obilježja</w:t>
      </w:r>
    </w:p>
    <w:p w14:paraId="26F801D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96.</w:t>
      </w:r>
    </w:p>
    <w:p w14:paraId="136AB99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Prostorni plan područja posebnih obilježja određuje organizaciju prostora i razrađuje ciljeve prostornog uređenja područja posebnih obilježja, zaštitu, namjenu i uvjete korištenja prostora, vrste aktivnosti u prostoru i mjere zaštite za iste.</w:t>
      </w:r>
    </w:p>
    <w:p w14:paraId="005FC48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Prostorni plan područja posebnih obilježja propisuje:</w:t>
      </w:r>
    </w:p>
    <w:p w14:paraId="7504537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mjere za unaprjeđenje i zaštitu prirode, okoliša, kulturnih dobara i drugih vrijednosti područja</w:t>
      </w:r>
    </w:p>
    <w:p w14:paraId="42034BA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uvjete provedbe svih zahvata u prostoru planiranih na području za koje se ne donosi urbanistički plan uređenja.</w:t>
      </w:r>
    </w:p>
    <w:p w14:paraId="137965B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Prostorni plan područja posebnih obilježja određuje:</w:t>
      </w:r>
    </w:p>
    <w:p w14:paraId="333ED0A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temeljnu organizaciju i razgraničenje prostora područja prema namjeni, uključujući i građevinsko područje naselja i izdvojeni dio građevinskog područja naselja ako takvo postoji odnosno površine za razvoj naselja</w:t>
      </w:r>
    </w:p>
    <w:p w14:paraId="0BD6731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razmještaj funkcija od važnosti za upravljanje područjem, sustav javne i druge infrastrukture i građevina javne i društvene namjene ako takvih ima</w:t>
      </w:r>
    </w:p>
    <w:p w14:paraId="3D0A724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mjere korištenja, uređenja i zaštite tog područja s prioritetnim aktivnostima</w:t>
      </w:r>
    </w:p>
    <w:p w14:paraId="54CEF2B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mjere za unapređenje i zaštitu okoliša i prirode, kulturnih, krajobraznih i drugih vrijednosti okoliša, mjere prilagodbe i jačanja otpornosti na klimatske promjene i mjere za zaštitu i očuvanje drugih vrijednosti područja.</w:t>
      </w:r>
    </w:p>
    <w:p w14:paraId="2242706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Urbanistički plan uređenja od državnog značaja</w:t>
      </w:r>
    </w:p>
    <w:p w14:paraId="69DE3CE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97.</w:t>
      </w:r>
    </w:p>
    <w:p w14:paraId="0DD2AFC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Urbanistički plan uređenja od državnog značaja donosi se za područje određeno Državnim planom prostornog razvoja.</w:t>
      </w:r>
    </w:p>
    <w:p w14:paraId="66AE1A9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Urbanistički plan uređenja od državnog značaja detaljno određuje prostorni razvoj, funkcionalna rješenja i uvjete oblikovanja pojedinih prostornih cjelina te propisuje uvjete provedbe svih zahvata u prostoru unutar svog obuhvata.</w:t>
      </w:r>
    </w:p>
    <w:p w14:paraId="403E0C2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U svrhu propisivanja uvjeta iz stavka 2. ovoga članka, urbanistički plan uređenja od državnog značaja sadrži sve potrebne elemente urbanističkog plana uređenja navedene u članku 107. stavku 2. ovoga Zakona.</w:t>
      </w:r>
    </w:p>
    <w:p w14:paraId="27645DED" w14:textId="6E1980DB" w:rsidR="007E17BF" w:rsidRPr="007E17BF" w:rsidRDefault="007E17BF" w:rsidP="00D2578D">
      <w:pPr>
        <w:pStyle w:val="Naslov5"/>
        <w:rPr>
          <w:lang w:eastAsia="hr-HR"/>
        </w:rPr>
      </w:pPr>
      <w:bookmarkStart w:id="17" w:name="_Toc219166934"/>
      <w:r w:rsidRPr="007E17BF">
        <w:rPr>
          <w:lang w:eastAsia="hr-HR"/>
        </w:rPr>
        <w:t>POGLAVLJE IV.</w:t>
      </w:r>
      <w:r w:rsidR="00D2578D">
        <w:rPr>
          <w:lang w:eastAsia="hr-HR"/>
        </w:rPr>
        <w:t xml:space="preserve">   </w:t>
      </w:r>
      <w:r w:rsidRPr="007E17BF">
        <w:rPr>
          <w:lang w:eastAsia="hr-HR"/>
        </w:rPr>
        <w:t>PROSTORNI PLANOVI PODRUČNE</w:t>
      </w:r>
      <w:r w:rsidR="00D2578D">
        <w:rPr>
          <w:lang w:eastAsia="hr-HR"/>
        </w:rPr>
        <w:t xml:space="preserve"> </w:t>
      </w:r>
      <w:r w:rsidRPr="007E17BF">
        <w:rPr>
          <w:lang w:eastAsia="hr-HR"/>
        </w:rPr>
        <w:t>(REGIONALNE) RAZINE</w:t>
      </w:r>
      <w:bookmarkEnd w:id="17"/>
    </w:p>
    <w:p w14:paraId="5074245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Prostorni plan županije i Prostorni plan Grada Zagreba</w:t>
      </w:r>
    </w:p>
    <w:p w14:paraId="12A1FB64"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98.</w:t>
      </w:r>
    </w:p>
    <w:p w14:paraId="6B35D52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Prostorni plan županije donosi se za područje županije, a Prostorni plan Grada Zagreba donosi se za područje Grada Zagreba.</w:t>
      </w:r>
    </w:p>
    <w:p w14:paraId="0B3E873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Prostorni plan županije odnosno Prostorni plan Grada Zagreba, kao i njihove izmjene i dopune, mogu se donositi istodobno s Državnim planom prostornog razvoja na području te županije odnosno Grada Zagreba.</w:t>
      </w:r>
    </w:p>
    <w:p w14:paraId="78D536C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Sadržaj prostornog plana županije</w:t>
      </w:r>
    </w:p>
    <w:p w14:paraId="26A3FB57"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99.</w:t>
      </w:r>
    </w:p>
    <w:p w14:paraId="7BEDFA2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Prostorni plan županije sastoji se od strateškog i provedbenog dijela.</w:t>
      </w:r>
    </w:p>
    <w:p w14:paraId="73A31AF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Strateški dio prostornog plana županije, u svrhu ostvarivanja ciljeva prostornog uređenja vezano za gospodarski, društveni i kulturni razvoj, potreba i mogućnosti izraženim u temeljnim državnim razvojnim dokumentima kao što su strategije, planovi i programi, a sukladno načelima prostornog uređenja, određuje:</w:t>
      </w:r>
    </w:p>
    <w:p w14:paraId="534F2DF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dugoročne ciljeve prostornog razvoja županije</w:t>
      </w:r>
    </w:p>
    <w:p w14:paraId="1FA2E5F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osnovu sustava središnjih naselja od regionalnog značaja</w:t>
      </w:r>
    </w:p>
    <w:p w14:paraId="475C5BD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planiranje i razvoj mreže obrazovnih, zdravstvenih, socijalnih i kulturnih ustanova</w:t>
      </w:r>
    </w:p>
    <w:p w14:paraId="3D3D1D2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osnovu sustava prometne i druge infrastrukture od županijskog značaja</w:t>
      </w:r>
    </w:p>
    <w:p w14:paraId="6C94424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strateška usmjerenja i strukturu razvoja gospodarskih djelatnosti u prostoru uzimajući u obzir održivost prirode, okoliša i cjelokupnog prostora županije.</w:t>
      </w:r>
    </w:p>
    <w:p w14:paraId="0EBF60D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Provedbeni dio prostornog plana županije izrađuje se sukladno ciljevima definiranim strateškim dijelom te detaljnije razrađuje i određuje osobito:</w:t>
      </w:r>
    </w:p>
    <w:p w14:paraId="5EF37AE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1. zahvate u prostoru i izdvojena građevinska područja izvan naselja od županijskog značaja te površine svih namjena od područnog (regionalnog) značaja</w:t>
      </w:r>
    </w:p>
    <w:p w14:paraId="3DBF362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površine i zahvate u prostoru od županijskog značaja određene uredbom iz članka 79. stavka 2 ovoga Zakona</w:t>
      </w:r>
    </w:p>
    <w:p w14:paraId="6B8E4E0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uvjete provedbe zahvata u prostoru od područnog (regionalnog) značaja</w:t>
      </w:r>
    </w:p>
    <w:p w14:paraId="4D53B7F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uvjete provedbe zahvata u prostoru od područnog (regionalnog) značaja koji se prema posebnim propisima kojima se uređuje gradnja ne smatraju građenjem</w:t>
      </w:r>
    </w:p>
    <w:p w14:paraId="1FC611C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smjernice za izradu urbanističkih planova uređenja od županijskog značaja unutar građevinskog područja.</w:t>
      </w:r>
    </w:p>
    <w:p w14:paraId="0CA56B05"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Sadržaj Prostornog plana Grada Zagreba</w:t>
      </w:r>
    </w:p>
    <w:p w14:paraId="4107633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100.</w:t>
      </w:r>
    </w:p>
    <w:p w14:paraId="53767BB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Na sadržaj Prostornog plana Grada Zagreba odgovarajuće se primjenjuju odredbe članka 99. ovoga Zakona.</w:t>
      </w:r>
    </w:p>
    <w:p w14:paraId="0374040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Prostorni plan Grada Zagreba određuje:</w:t>
      </w:r>
    </w:p>
    <w:p w14:paraId="14CC3CE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osnovnu namjenu površina s podjelom na građevinska područja naselja, izdvojene dijelove građevinskih područja naselja, izdvojena građevinska područja izvan naselja te površine ostalih namjena izvan građevinskih područja</w:t>
      </w:r>
    </w:p>
    <w:p w14:paraId="7A48CC5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koridore infrastrukture značajne za Grad Zagreb</w:t>
      </w:r>
    </w:p>
    <w:p w14:paraId="55D3494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obuhvat generalnih urbanističkih planova</w:t>
      </w:r>
    </w:p>
    <w:p w14:paraId="25AFA47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obuhvat urbanističkih planova uređenja izvan obuhvata generalnog urbanističkog plana.</w:t>
      </w:r>
    </w:p>
    <w:p w14:paraId="5E45BB2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Prostorni plan Grada Zagreba propisuje:</w:t>
      </w:r>
    </w:p>
    <w:p w14:paraId="342AABE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uvjete provedbe svih zahvata u prostoru izvan građevinskog područja, osim onih od državnog značaja</w:t>
      </w:r>
    </w:p>
    <w:p w14:paraId="64118EB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uvjete provedbe zahvata u prostoru od područnog (regionalnog) značaja koji se prema posebnim propisima kojima se uređuje gradnja ne smatraju građenjem</w:t>
      </w:r>
    </w:p>
    <w:p w14:paraId="109DCFF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uvjete provedbe svih zahvata u prostoru izvan građevinskog područja</w:t>
      </w:r>
    </w:p>
    <w:p w14:paraId="1140E2E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uvjete provedbe svih zahvata u prostoru unutar građevinskih područja, osim za područja za koja se prema ovom Zakonu donosi generalni urbanistički plan ili urbanistički plan uređenja</w:t>
      </w:r>
    </w:p>
    <w:p w14:paraId="014D37B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smjernice za izradu generalnog urbanističkog plana</w:t>
      </w:r>
    </w:p>
    <w:p w14:paraId="0A5E6C9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smjernice za izradu urbanističkih planova uređenja izvan obuhvata generalnog urbanističkog plana.</w:t>
      </w:r>
    </w:p>
    <w:p w14:paraId="6379079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Urbanistički plan uređenja od </w:t>
      </w:r>
      <w:r w:rsidRPr="007E17BF">
        <w:rPr>
          <w:rFonts w:ascii="Times New Roman" w:eastAsia="Times New Roman" w:hAnsi="Times New Roman"/>
          <w:color w:val="231F20"/>
          <w:sz w:val="20"/>
          <w:szCs w:val="20"/>
          <w:bdr w:val="none" w:sz="0" w:space="0" w:color="auto" w:frame="1"/>
          <w:lang w:eastAsia="hr-HR"/>
        </w:rPr>
        <w:t>županijskog značaja</w:t>
      </w:r>
    </w:p>
    <w:p w14:paraId="35261C2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101.</w:t>
      </w:r>
    </w:p>
    <w:p w14:paraId="12135EA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Urbanistički plan uređenja od županijskog značaja donosi se za područje određeno Prostornim planom županije i Prostornim planom Grada Zagreba.</w:t>
      </w:r>
    </w:p>
    <w:p w14:paraId="0C23465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Urbanistički plan uređenja od županijskog značaja detaljno određuje prostorni razvoj, funkcionalna rješenja i uvjete oblikovanja pojedinih prostornih cjelina te propisuje uvjete provedbe svih zahvata u prostoru unutar svog obuhvata.</w:t>
      </w:r>
    </w:p>
    <w:p w14:paraId="404E8CB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U svrhu propisivanja uvjeta iz stavka 2. ovoga članka, urbanistički plan uređenja od županijskog značaja, uz ostale propisane dijelove iz članka 107. ovoga Zakona, sadrži sve potrebne elemente urbanističkog plana uređenja navedene u članku 107. stavku 2. ovoga Zakona.</w:t>
      </w:r>
    </w:p>
    <w:p w14:paraId="20790DC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Odlukom župana nadležnost za izradu i donošenje urbanističkog plana uređenja od županijskog značaja može se povjeriti jedinici lokalne samouprave na čijem je području određen obuhvat tog plana.</w:t>
      </w:r>
    </w:p>
    <w:p w14:paraId="5F12D8E5" w14:textId="41C52871" w:rsidR="007E17BF" w:rsidRPr="007E17BF" w:rsidRDefault="007E17BF" w:rsidP="00D2578D">
      <w:pPr>
        <w:pStyle w:val="Naslov5"/>
        <w:rPr>
          <w:lang w:eastAsia="hr-HR"/>
        </w:rPr>
      </w:pPr>
      <w:bookmarkStart w:id="18" w:name="_Toc219166935"/>
      <w:r w:rsidRPr="007E17BF">
        <w:rPr>
          <w:lang w:eastAsia="hr-HR"/>
        </w:rPr>
        <w:t>POGLAVLJE V.</w:t>
      </w:r>
      <w:r w:rsidR="00D2578D">
        <w:rPr>
          <w:lang w:eastAsia="hr-HR"/>
        </w:rPr>
        <w:t xml:space="preserve">   </w:t>
      </w:r>
      <w:r w:rsidRPr="007E17BF">
        <w:rPr>
          <w:lang w:eastAsia="hr-HR"/>
        </w:rPr>
        <w:t>PROSTORNI PLANOVI LOKALNE RAZINE</w:t>
      </w:r>
      <w:bookmarkEnd w:id="18"/>
    </w:p>
    <w:p w14:paraId="7117B33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Prostorni plan uređenja grada odnosno općine</w:t>
      </w:r>
    </w:p>
    <w:p w14:paraId="35431FA5"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102.</w:t>
      </w:r>
    </w:p>
    <w:p w14:paraId="6B21CEB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Prostorni plan uređenja grada odnosno općine određuje usmjerenja za razvoj djelatnosti i namjenu površina te propisuje uvjete za održivi i uravnoteženi razvoj na području grada odnosno općine.</w:t>
      </w:r>
    </w:p>
    <w:p w14:paraId="0B03164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Prostorni plan uređenja grada odnosno općine donosi se za područje grada odnosno općine.</w:t>
      </w:r>
    </w:p>
    <w:p w14:paraId="107B2BD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Sadržaj prostornog plana uređenja grada odnosno općine</w:t>
      </w:r>
    </w:p>
    <w:p w14:paraId="604E975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103.</w:t>
      </w:r>
    </w:p>
    <w:p w14:paraId="421117E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Prostorni plan uređenja grada odnosno općine određuje:</w:t>
      </w:r>
    </w:p>
    <w:p w14:paraId="24CF12A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podjelu prostora grada odnosno općine na građevinska područja naselja, izdvojene dijelove građevinskih područja naselja, izdvojena građevinska područja izvan naselja, te površina ostalih namjena izvan građevinskih područja</w:t>
      </w:r>
    </w:p>
    <w:p w14:paraId="370C1FD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osnovnu namjenu površina unutar građevinskih područja te na razini smjernica, unutar obuhvata generalnog urbanističkog plana i urbanističkog plana uređenja</w:t>
      </w:r>
    </w:p>
    <w:p w14:paraId="672E15E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prometnu mrežu s karakterističnim presjecima prometnica od značaja za grad odnosno općinu, uključujući i na razini smjernica unutar obuhvata generalnog urbanističkog plana i urbanističkog plana uređenja</w:t>
      </w:r>
    </w:p>
    <w:p w14:paraId="6E0C265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4. infrastrukturne koridore, površine i objekte od značaja za grad odnosno općinu, uključujući i elektroničku komunikacijsku infrastrukturu i s njome povezanu opremu te baterijska postrojenja, uključujući i na razini smjernica unutar obuhvata generalnog urbanističkog plana</w:t>
      </w:r>
    </w:p>
    <w:p w14:paraId="63280AD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građevine iz sustava gospodarenja otpadom na području grada odnosno općine i odlagališta viškova iskopa koji predstavljaju mineralnu sirovinu</w:t>
      </w:r>
    </w:p>
    <w:p w14:paraId="123479C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zaštićene dijelove okoliša, prirode, krajobraza te kulturno-povijesne baštine na području grada odnosno općine i zelenu infrastrukturu</w:t>
      </w:r>
    </w:p>
    <w:p w14:paraId="023180F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obuhvat generalnog urbanističkog plana za središnje naselje grada</w:t>
      </w:r>
    </w:p>
    <w:p w14:paraId="402C84B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8. obuhvate urbanističkih planova uređenja sukladno ovom Zakonu, osim unutar obuhvata generalnog urbanističkog plana.</w:t>
      </w:r>
    </w:p>
    <w:p w14:paraId="06ECB1F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Prostorni plan uređenja grada odnosno općine propisuje:</w:t>
      </w:r>
    </w:p>
    <w:p w14:paraId="4174D5E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uvjete provedbe svih zahvata u prostoru unutar građevinskih područja, osim unutar obuhvata generalnog urbanističkog plana i urbanističkog plana uređenja</w:t>
      </w:r>
    </w:p>
    <w:p w14:paraId="3A3FECF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uvjete provedbe svih zahvata u prostoru izvan građevinskog područja, osim zahvata od državnog i županijskog značaja</w:t>
      </w:r>
    </w:p>
    <w:p w14:paraId="4171BF7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uvjete provedbe za infrastrukturne zahvate značajne za grad odnosno općinu</w:t>
      </w:r>
    </w:p>
    <w:p w14:paraId="43CAA02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mjere zaštite okoliša te očuvanje prirodnih, krajobraznih i kulturno-povijesnih vrijednosti na području grada odnosno općine</w:t>
      </w:r>
    </w:p>
    <w:p w14:paraId="4F6FD2C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smjernice za izradu generalnog urbanističkog plana</w:t>
      </w:r>
    </w:p>
    <w:p w14:paraId="0FF64D3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smjernice za izradu urbanističkih planova uređenja te mjere i uvjete provedbe zahvata u prostoru do njihova donošenja.</w:t>
      </w:r>
    </w:p>
    <w:p w14:paraId="76FC71B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Prostorni plan uređenja grada odnosno općine može za područja za koja se prema ovom Zakonu obvezno donosi urbanistički plan uređenja propisivati uvjete provedbe zahvata u prostoru s detaljnošću propisanom za urbanistički plan uređenja, osim za područja koja su planirana za urbanu komasaciju.</w:t>
      </w:r>
    </w:p>
    <w:p w14:paraId="4DA48C85"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Generalni urbanistički plan</w:t>
      </w:r>
    </w:p>
    <w:p w14:paraId="3CAFA5F4"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104.</w:t>
      </w:r>
    </w:p>
    <w:p w14:paraId="397E611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Generalni urbanistički plan daje osnovu za razvoj i uređenje grada, korištenje i namjenu površina, razmještaj djelatnosti u gradskom prostoru, te uvjete za očuvanje i unapređenje kvalitete urbanog prostora i kulturno-povijesnih vrijednosti koje čine identitet tog grada.</w:t>
      </w:r>
    </w:p>
    <w:p w14:paraId="405FE5A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Generalni urbanistički plan donosi se za građevinska područja određena Prostornim planom Grada Zagreba i središnjeg naselja velikoga grada određenog posebnim propisom te za građevinska područja naselja drugih gradova ako je tako određeno prostornim planom uređenja toga grada.</w:t>
      </w:r>
    </w:p>
    <w:p w14:paraId="39FA354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Unutar obuhvata generalnog urbanističkog plana ne planiraju se površine izvan građevinskih područja, osim za gradove u prostoru ograničenja, gdje je u obuhvat generalnog urbanističkog plana, definiran prostornim planom uređenja grada, nužno uključiti i kontaktno područje mora.</w:t>
      </w:r>
    </w:p>
    <w:p w14:paraId="4ED99C3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Sadržaj generalnog urbanističkog plana</w:t>
      </w:r>
    </w:p>
    <w:p w14:paraId="0D4A93C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105.</w:t>
      </w:r>
    </w:p>
    <w:p w14:paraId="011493D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Generalni urbanistički plan određuje:</w:t>
      </w:r>
    </w:p>
    <w:p w14:paraId="0D7932D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namjenu površina te načine korištenja prostora</w:t>
      </w:r>
    </w:p>
    <w:p w14:paraId="7DA04CB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prometnu i infrastrukturnu mrežu s karakterističnim presjecima prometnica od značaja za grad te načine njihova povezivanja na infrastrukturu državne i područne (regionalne) razine</w:t>
      </w:r>
    </w:p>
    <w:p w14:paraId="09AC731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građevine, površine i prostore od značaja za razvoj grada i očuvanje njegova identiteta</w:t>
      </w:r>
    </w:p>
    <w:p w14:paraId="37C92B9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obuhvat urbanističkih planova uređenja sukladno ovom Zakonu.</w:t>
      </w:r>
    </w:p>
    <w:p w14:paraId="3B9992E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Generalni urbanistički plan propisuje:</w:t>
      </w:r>
    </w:p>
    <w:p w14:paraId="0DA55BF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uvjete provedbe svih zahvata u prostoru unutar svog obuhvata, osim za dijelove za koje se donose urbanistički planovi uređenja sukladno ovom Zakonu</w:t>
      </w:r>
    </w:p>
    <w:p w14:paraId="1BC7025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mjere zaštite i unapređenja okoliša, zelene infrastrukture, prirodne i kulturno-povijesne baštine</w:t>
      </w:r>
    </w:p>
    <w:p w14:paraId="3CB12F4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smjernice za izradu urbanističkih planova uređenja te prijelazne mjere provedbe zahvata u prostoru do njihova donošenja.</w:t>
      </w:r>
    </w:p>
    <w:p w14:paraId="74706E31" w14:textId="77777777" w:rsid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Generalni urbanistički plan može za područja za koja se prema ovom Zakonu donosi urbanistički plan uređenja propisivati uvjete provedbe zahvata u prostoru s detaljnošću propisanom za urbanistički plan uređenja, osim za područja koja su planirana za urbanu komasaciju.</w:t>
      </w:r>
    </w:p>
    <w:p w14:paraId="73960D76" w14:textId="77777777" w:rsidR="00D2578D"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3F0E26E9" w14:textId="77777777" w:rsidR="00D2578D"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5E572C43" w14:textId="77777777" w:rsidR="00D2578D" w:rsidRPr="007E17BF"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18404A1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Urbanistički plan uređenja</w:t>
      </w:r>
    </w:p>
    <w:p w14:paraId="7567D4D5"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106.</w:t>
      </w:r>
    </w:p>
    <w:p w14:paraId="2B5CE63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Urbanistički plan uređenja detaljno određuje prostorni razvoj, funkcionalna rješenja i uvjete oblikovanja pojedinih prostornih cjelina unutar građevinskih područja koje nisu s dovoljnom detaljnošću obrađene u prostornim planovima šireg područja.</w:t>
      </w:r>
    </w:p>
    <w:p w14:paraId="25F8A91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Urbanistički plan uređenja donosi se za:</w:t>
      </w:r>
    </w:p>
    <w:p w14:paraId="4F7CB54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dijelove građevinskih područja koji nisu izgrađeni i opremljeni osnovnom infrastrukturom</w:t>
      </w:r>
    </w:p>
    <w:p w14:paraId="7E42FBF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postojeće i izgrađene dijelove građevinskih područja za koje se planira urbana preobrazba i/ili urbana sanacija</w:t>
      </w:r>
    </w:p>
    <w:p w14:paraId="6AC8519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dijelove građevinskih područja koja predstavljaju kulturno-povijesne cjeline upisane u Registar kulturnih dobara Republike Hrvatske</w:t>
      </w:r>
    </w:p>
    <w:p w14:paraId="21F0316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dijelove građevinskih područja koji se nalaze na području pomorskog dobra</w:t>
      </w:r>
    </w:p>
    <w:p w14:paraId="16A3306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dijelove građevinskih područja na kojima se planira provesti urbana komasacija.</w:t>
      </w:r>
    </w:p>
    <w:p w14:paraId="0D83C06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Do donošenja urbanističkog plana uređenja iz stavka 2. točaka 2. do 5. ovoga članka, zahvati u prostoru na tom području provode se na temelju prijelaznih mjera iz prostornog plana šireg područja, kojima se propisuju uvjeti rekonstrukcije postojeće građevine i građenja nove građevine na mjestu ili u neposrednoj blizini mjesta prethodno uklonjene postojeće građevine unutar iste građevne čestice, kojom se bitno ne mijenja namjena, izgled, veličina i utjecaj na okoliš dotadašnje građevine.</w:t>
      </w:r>
    </w:p>
    <w:p w14:paraId="1279B82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Izrada urbanističkog plana uređenja nije obvezna za područja iz stavka 2. točaka 1., 2., 3. i 4. ovoga članka, za koja su prostornim planom šireg područja propisani uvjeti provedbe zahvata u prostoru s detaljnošću propisanom za urbanistički plan uređenja.</w:t>
      </w:r>
    </w:p>
    <w:p w14:paraId="629A0CC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Urbanistički plan uređenja ne može se planirati samo za jedan zahvat u prostoru s jednom primarnom namjenom površina.</w:t>
      </w:r>
    </w:p>
    <w:p w14:paraId="4AE9F88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Sadržaj urbanističkog plana uređenja</w:t>
      </w:r>
    </w:p>
    <w:p w14:paraId="0CEF332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107.</w:t>
      </w:r>
    </w:p>
    <w:p w14:paraId="4F89FAD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Urbanističkim planom uređenja propisuju se uvjeti provedbe svih zahvata u prostoru unutar njegova obuhvata.</w:t>
      </w:r>
    </w:p>
    <w:p w14:paraId="7B67FEB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 svrhu propisivanja uvjeta iz stavka 1. ovoga članka, a ovisno o području za koje se donosi, urbanistički plan uređenja određuje:</w:t>
      </w:r>
    </w:p>
    <w:p w14:paraId="5FA4783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detaljnu podjelu područja na posebne prostorne cjeline ovisno o njihovoj namjeni i načinu korištenja</w:t>
      </w:r>
    </w:p>
    <w:p w14:paraId="43A3E06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prikaz građevnih čestica planiranih za građenje odnosno uređenje površina javne namjene</w:t>
      </w:r>
    </w:p>
    <w:p w14:paraId="00E542F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regulacijsku liniju, građevinski pravac i/ili obvezni građevinski pravac, površine za smještaj građevina u prostoru, njihove maksimalne gabarite i volumene, a po potrebi sadrži prostorne prikaze najvećih ostvarivih volumena izgrađenih struktura</w:t>
      </w:r>
    </w:p>
    <w:p w14:paraId="7645B16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javnu prometnu i infrastrukturnu mrežu, uključujući i karakteristične presjeke prometnica, javna parkirališta, javne garaže, stajališta za javni prijevoz, pješačke i biciklističke staze, građevine i objekte komunalne infrastrukture i sl.</w:t>
      </w:r>
    </w:p>
    <w:p w14:paraId="6AB3897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prikaz zelene infrastrukture s podjelom na javne zelene površine, obvezni udio zelenila na privatnim česticama te elemente zelene arhitekture na pojedinim građevinama</w:t>
      </w:r>
    </w:p>
    <w:p w14:paraId="04ACB54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prikaz zaštićenih kulturno-povijesnih cjelina i građevina te načine i uvjete interpolacije novih građevina unutar postojećih izgrađenih struktura</w:t>
      </w:r>
    </w:p>
    <w:p w14:paraId="70B4317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područja planirana za urbanu preobrazbu i/ili sanaciju te načine rekonstrukcije i nove gradnje s ciljem povećanja kvalitete prostora</w:t>
      </w:r>
    </w:p>
    <w:p w14:paraId="4BDADB6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8. područja planirana za urbanu komasaciju koja mogu definirati granice građevnih čestica</w:t>
      </w:r>
    </w:p>
    <w:p w14:paraId="261EEBC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9. dinamiku realizacije i provođenja zahvata u prostoru, a po potrebi i etapa i/ili faza gradnje pojedinih građevnih cjelina</w:t>
      </w:r>
    </w:p>
    <w:p w14:paraId="0B4845C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10. ostale elemente potrebne za utvrđivanje detaljnih uvjeta gradnje građevina i uređenja prostora.</w:t>
      </w:r>
    </w:p>
    <w:p w14:paraId="6EAAA3C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Za područja pomorskog dobra urbanistički planovi uređenja, u odnosu na sadržaj propisan stavkom 2. ovoga članka, moraju sadržavati i detaljna rješenja s položajem i oblikovanjem pojedinih prostornih elemenata, zgrada i drugih građevina, uključujući molove, lukobrane, sunčališta, šetnice i sl.</w:t>
      </w:r>
    </w:p>
    <w:p w14:paraId="235944F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U svrhu propisivanja uvjeta iz stavka 1. ovoga članka, a ovisno o području za koje se donosi, urbanistički plan uređenja obvezno sadržava odredbe koje osiguravaju usklađenost novih građevina s postojećom okolnom izgradnjom.</w:t>
      </w:r>
    </w:p>
    <w:p w14:paraId="32B75208" w14:textId="77777777" w:rsid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Usklađenost novih građevina s postojećom okolnom izgradnjom iz stavka 3. ovoga članka projektant idejnog i glavnog projekta dokazuje posebnom analizom u okviru ocjene usklađenosti planiranog zahvata u prostoru s prostornim planom.</w:t>
      </w:r>
    </w:p>
    <w:p w14:paraId="1F293CD6" w14:textId="77777777" w:rsidR="00D2578D"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4D53F6BB" w14:textId="77777777" w:rsidR="00D2578D"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466894F5" w14:textId="77777777" w:rsidR="00D2578D" w:rsidRPr="007E17BF"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3DD2CD61" w14:textId="13D88AB3" w:rsidR="007E17BF" w:rsidRPr="007E17BF" w:rsidRDefault="007E17BF" w:rsidP="00D2578D">
      <w:pPr>
        <w:pStyle w:val="Naslov5"/>
        <w:rPr>
          <w:lang w:eastAsia="hr-HR"/>
        </w:rPr>
      </w:pPr>
      <w:bookmarkStart w:id="19" w:name="_Toc219166936"/>
      <w:r w:rsidRPr="007E17BF">
        <w:rPr>
          <w:lang w:eastAsia="hr-HR"/>
        </w:rPr>
        <w:lastRenderedPageBreak/>
        <w:t>POGLAVLJE VI.</w:t>
      </w:r>
      <w:r w:rsidR="00D2578D">
        <w:rPr>
          <w:lang w:eastAsia="hr-HR"/>
        </w:rPr>
        <w:t xml:space="preserve">   </w:t>
      </w:r>
      <w:r w:rsidRPr="007E17BF">
        <w:rPr>
          <w:lang w:eastAsia="hr-HR"/>
        </w:rPr>
        <w:t>POSTUPAK IZRADE I DONOŠENJA PROSTORNIH PLANOVA</w:t>
      </w:r>
      <w:bookmarkEnd w:id="19"/>
    </w:p>
    <w:p w14:paraId="5B1DDF3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Nositelj izrade i koordinator izrade prostornog plana</w:t>
      </w:r>
    </w:p>
    <w:p w14:paraId="2409778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108.</w:t>
      </w:r>
    </w:p>
    <w:p w14:paraId="1A3A7BF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Nositelj izrade prostornog plana obavlja administrativne poslove i vodi dokumentaciju u postupku izrade i donošenja prostornog plana, provodi stručnu i javnu raspravu te priprema konačni prijedlog plana za donošenje sukladno ovom Zakonu.</w:t>
      </w:r>
    </w:p>
    <w:p w14:paraId="50B3508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Nositelj izrade prostornog plana državne razine je Ministarstvo, prostornog plana područne (regionalne) razine stručno upravno tijelo županije odnosno Grada Zagreba, a prostornog plana lokalne razine stručno upravno tijelo jedinice lokalne samouprave.</w:t>
      </w:r>
    </w:p>
    <w:p w14:paraId="0A245C8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Nositelj izrade može kao koordinatora izrade prostornog plana imenovati Zavod za prostorni razvoj, zavod za prostorno uređenje županije odnosno Grada Zagreba ili zavod za prostorno uređenje grada, kojima se u tom svojstvu povjerava obavljanje jednog ili više poslova iz stavka 1. ovoga članka.</w:t>
      </w:r>
    </w:p>
    <w:p w14:paraId="2FFE5D9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Koordinator izrade ne može ujedno biti i stručni izrađivač prostornog plana.</w:t>
      </w:r>
    </w:p>
    <w:p w14:paraId="4C594CA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Stručni izrađivač i odgovorni voditelj izrade prostornog plana</w:t>
      </w:r>
    </w:p>
    <w:p w14:paraId="18DFC5D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109.</w:t>
      </w:r>
    </w:p>
    <w:p w14:paraId="5BB4C08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Stručni izrađivač prostornog plana izrađuje stručno rješenje prostornog plana te surađuje s nositeljem izrade u stručnim poslovima izrade i donošenja prostornog plana.</w:t>
      </w:r>
    </w:p>
    <w:p w14:paraId="404A366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Stručni izrađivači prostornih planova su Zavod za prostorni razvoj, zavod za prostorno uređenje županije odnosno Grada Zagreba, zavod za prostorno uređenje grada i pravne i fizičke osobe koje sukladno posebnom zakonu kojim se uređuju poslovi i djelatnosti prostornoga uređenja i gradnje mogu obavljati poslove prostornog uređenja.</w:t>
      </w:r>
    </w:p>
    <w:p w14:paraId="7A16254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Stručni izrađivač prostornog plana prije početka njegove izrade imenuje odgovornog voditelja izrade prostornog plana (u daljnjem tekstu: odgovorni voditelj).</w:t>
      </w:r>
    </w:p>
    <w:p w14:paraId="3EA1B59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Odgovorni voditelj je službenik odnosno zaposlenik zavoda ili zaposlenik pravne osobe iz stavka 2. ovoga članka, s najmanje četiri godine radnog staža na poslovima prostornog uređenja.</w:t>
      </w:r>
    </w:p>
    <w:p w14:paraId="5CBF575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Odgovorni voditelj i stručnjaci odgovarajućih struka</w:t>
      </w:r>
    </w:p>
    <w:p w14:paraId="3385778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110.</w:t>
      </w:r>
    </w:p>
    <w:p w14:paraId="224712E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Odgovorni voditelj je odgovoran da je nacrt prijedloga prostornog plana odnosno nacrt konačnog prijedloga prostornog plana izrađen u skladu s ovim Zakonom i posebnim propisima te da su određene dijelove odnosno sadržaj tog plana izradili stručnjaci odgovarajućih struka.</w:t>
      </w:r>
    </w:p>
    <w:p w14:paraId="1BAC8C0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Stručnjaci odgovarajućih struka su osobe koje prema posebnom propisu mogu obavljati poslove prostornog uređenja u svojstvu suradnika.</w:t>
      </w:r>
    </w:p>
    <w:p w14:paraId="45856C5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Osoba koja sudjeluje u davanju zahtjeva za izradu prostornog plana, mišljenja ili suglasnosti na prijedlog ili konačni prijedlog tog dokumenta ne smije u svojstvu stručnjaka odgovarajuće struke sudjelovati u izradi nacrta prijedloga i nacrta konačnog prijedloga tog dokumenta.</w:t>
      </w:r>
    </w:p>
    <w:p w14:paraId="2A9955F7"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Nezakonitosti u izradi prostornog plana</w:t>
      </w:r>
    </w:p>
    <w:p w14:paraId="5783A5D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111.</w:t>
      </w:r>
    </w:p>
    <w:p w14:paraId="707E236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Odgovorni voditelj dužan je pisanim putem upozoriti nositelja izrade prostornog plana i obavijestiti Ministarstvo o zahtjevu, traženju ili prijedlogu nositelja izrade prostornog plana postavljenom prilikom izrade prostornog plana koji je protivan ovom Zakonu ili drugom propisu te zastati s izradom tog plana do očitovanja Ministarstva.</w:t>
      </w:r>
    </w:p>
    <w:p w14:paraId="3220779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Prije otklanjanja nezakonitosti u izradi prostornog plana utvrđenom očitovanjem Ministarstva ne može se dati mišljenje niti suglasnost koji se daju na temelju ovoga Zakona.</w:t>
      </w:r>
    </w:p>
    <w:p w14:paraId="2298A19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Iniciranje izrade prostornog plana</w:t>
      </w:r>
    </w:p>
    <w:p w14:paraId="547CE1F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112.</w:t>
      </w:r>
    </w:p>
    <w:p w14:paraId="55F6C4E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Izradu prostornog plana lokalne odnosno područne (regionalne) razine, kao i njegovih izmjena i dopuna može inicirati svatko.</w:t>
      </w:r>
    </w:p>
    <w:p w14:paraId="76EDE1B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Javnopravna tijela koja prema posebnim propisima iz njihova djelokruga sudjeluju u prostornom planiranju na području pojedine jedinice lokalne odnosno područne (regionalne) samouprave dužna su jednom godišnje, na početku svake godine do kraja veljače, toj jedinici lokalne odnosno područne (regionalne) samouprave dostaviti prijedloge i zahtjeve unutar svoje nadležnosti o potrebi izrade prostornih planova odnosno njihovih izmjena i dopuna, na području te jedinice lokalne odnosno područne (regionalne) samouprave ili izjavu da nemaju novih zahtjeva u odnosu na prethodnu godinu.</w:t>
      </w:r>
    </w:p>
    <w:p w14:paraId="1EF9CC2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(3) U svrhu utvrđivanja osnovanosti pokretanja postupka za izradu i donošenje prostornog plana odnosno njegovih izmjena i dopuna, nadležno stručno upravno tijelo koje obavlja poslove nositelja izrade prostornih planova na svom području može provesti savjetovanje sa zainteresiranom javnošću kojim će se provjeriti interes šireg raspona dionika o njihovim potrebama te prikupiti prijedlozi, a dužno je jednom godišnje napraviti stručnu analizu zaprimljenih inicijativa </w:t>
      </w:r>
      <w:r w:rsidRPr="007E17BF">
        <w:rPr>
          <w:rFonts w:ascii="Times New Roman" w:eastAsia="Times New Roman" w:hAnsi="Times New Roman"/>
          <w:color w:val="231F20"/>
          <w:sz w:val="20"/>
          <w:szCs w:val="20"/>
          <w:lang w:eastAsia="hr-HR"/>
        </w:rPr>
        <w:lastRenderedPageBreak/>
        <w:t>iz stavka 1. ovoga članka, kao i prijedloga javnopravnih tijela iz stavka 2. ovoga članka, te o zaključcima iste obavijestiti župana, gradonačelnika odnosno općinskog načelnika, kao i predstavničko tijelo jedinice lokalne odnosno područne (regionalne) samouprave.</w:t>
      </w:r>
    </w:p>
    <w:p w14:paraId="7018D7F1"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Strateška procjena utjecaja na okoliš</w:t>
      </w:r>
    </w:p>
    <w:p w14:paraId="04211D1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113.</w:t>
      </w:r>
    </w:p>
    <w:p w14:paraId="056665A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Strateška procjena utjecaja na okoliš prema propisima kojima se uređuje zaštita okoliša i zaštita prirode (u daljnjem tekstu: strateška procjena) provodi se za Državni plan prostornog razvoja, prostorni plan područja posebnih obilježja, prostorni plan županije odnosno Grada Zagreba, prostorni plan uređenja grada odnosno općine te generalni urbanistički plan i urbanistički plan uređenja.</w:t>
      </w:r>
    </w:p>
    <w:p w14:paraId="4456B77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Stratešku procjenu kao i postupak ocjene o potrebi strateške procjene nije potrebno provoditi za generalni urbanistički plan i urbanistički plan uređenja ako je ista provedena za prostorni plan uređenja grada ili prostorni plan uređenja općine.</w:t>
      </w:r>
    </w:p>
    <w:p w14:paraId="4DCA5854"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Odluka o izradi prostornog plana</w:t>
      </w:r>
    </w:p>
    <w:p w14:paraId="66AB7C8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114.</w:t>
      </w:r>
    </w:p>
    <w:p w14:paraId="5BD479F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Izrada prostornog plana započinje stupanjem na snagu odluke o izradi prostornog plana.</w:t>
      </w:r>
    </w:p>
    <w:p w14:paraId="0156EFE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Odluku o izradi prostornog plana državne razine donosi ministar, odluku o izradi prostornog plana područne (regionalne) razine donosi župan odnosno gradonačelnik Grada Zagreba, a odluku o izradi prostornog plana lokalne razine gradonačelnik odnosno općinski načelnik.</w:t>
      </w:r>
    </w:p>
    <w:p w14:paraId="7F3EA3E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Odluka o izradi prostornog plana objavljuje se u službenom glasilu, na mrežnim stranicama nositelja izrade te u informacijskom sustavu.</w:t>
      </w:r>
    </w:p>
    <w:p w14:paraId="21236C4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(4) Postupak izrade i donošenja prostornog plana kroz sve faze izrade i donošenja prostornog plana određenih ovim Zakonom vodi se u informacijskom sustavu </w:t>
      </w:r>
      <w:proofErr w:type="spellStart"/>
      <w:r w:rsidRPr="007E17BF">
        <w:rPr>
          <w:rFonts w:ascii="Times New Roman" w:eastAsia="Times New Roman" w:hAnsi="Times New Roman"/>
          <w:color w:val="231F20"/>
          <w:sz w:val="20"/>
          <w:szCs w:val="20"/>
          <w:lang w:eastAsia="hr-HR"/>
        </w:rPr>
        <w:t>ePlanovi</w:t>
      </w:r>
      <w:proofErr w:type="spellEnd"/>
      <w:r w:rsidRPr="007E17BF">
        <w:rPr>
          <w:rFonts w:ascii="Times New Roman" w:eastAsia="Times New Roman" w:hAnsi="Times New Roman"/>
          <w:color w:val="231F20"/>
          <w:sz w:val="20"/>
          <w:szCs w:val="20"/>
          <w:lang w:eastAsia="hr-HR"/>
        </w:rPr>
        <w:t>.</w:t>
      </w:r>
    </w:p>
    <w:p w14:paraId="66FCBE9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Odluka o izradi prostornog plana može se mijenjati i/ili dopunjavati te staviti izvan snage, što se objavljuje na način propisan u stavku 3. ovoga članka.</w:t>
      </w:r>
    </w:p>
    <w:p w14:paraId="0929BEC5"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Sadržaj odluke o izradi prostornog plana</w:t>
      </w:r>
    </w:p>
    <w:p w14:paraId="2188395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115.</w:t>
      </w:r>
    </w:p>
    <w:p w14:paraId="020CE48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Odluka o izradi prostornog plana sadrži ciljeve i programska polazišta za donošenje prostornog plana, obuhvat prostornog plana, popis javnopravnih tijela te drugih sudionika korisnika prostora koji sudjeluju u izradi prostornog plana, te ostale elemente ovisno o vrsti prostornog plana i postupku njegove izradi kao što su to izrada novog plana, njegove izmjene i/ili dopune odnosno zasebno stavljanje izvan snage, koji se uređuju pravilnikom iz članka 79. stavka 3. ovoga Zakona.</w:t>
      </w:r>
    </w:p>
    <w:p w14:paraId="43A6BBD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Postupak izrade i donošenja izmjena i dopuna prostornog plana užeg područja i s time povezanih izmjena i dopuna prostornog plana šireg područja mogu se provoditi istodobno, pri čemu se donose vezane odluke o izradi izmjena i dopuna ta dva prostorna plana.</w:t>
      </w:r>
    </w:p>
    <w:p w14:paraId="6E803F6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Objava i dostava odluke o izradi prostornog plana</w:t>
      </w:r>
    </w:p>
    <w:p w14:paraId="490D5AA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116.</w:t>
      </w:r>
    </w:p>
    <w:p w14:paraId="205B01B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Nositelj izrade po stupanju na snagu odluke o izradi prostornog plana obavještava javnost o izradi prostornog plana na mrežnoj stranici nositelja izrade, mrežnoj stranici Ministarstva i putem informacijskog sustava.</w:t>
      </w:r>
    </w:p>
    <w:p w14:paraId="5E5ED0C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Nositelj izrade prostornog plana dužan je odluku o izradi prostornog plana nakon objave dostaviti elektroničkim putem javnopravnim tijelima te drugim tijelima određenim odlukom o izradi, s pozivom da mu u roku određenim odlukom o izradi dostave svoje zahtjeve za izradu prostornog plana.</w:t>
      </w:r>
    </w:p>
    <w:p w14:paraId="767B6A2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Zahtjevi javnopravnih tijela za izradu prostornog plana</w:t>
      </w:r>
    </w:p>
    <w:p w14:paraId="77A56064"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117.</w:t>
      </w:r>
    </w:p>
    <w:p w14:paraId="1E6FDBE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Javnopravno tijelo mora u zahtjevima za izradu prostornog plana navesti odredbe propisa, sektorskih strategija, planova, studija i drugih dokumenata propisanih posebnim zakonima na kojima se temelje zahtjevi. Ako to nije učinjeno, nositelj izrade takve zahtjeve nije dužan uzeti u obzir, ali je to dužan posebno obrazložiti.</w:t>
      </w:r>
    </w:p>
    <w:p w14:paraId="4455203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Javnopravno tijelo ne može zahtjevima za izradu prostornog plana postavljati uvjete kojima bi se mijenjali sadržaj, ciljevi i/ili programska polazišta za izradu prostornog plana određeni odlukom o izradi prostornog plana.</w:t>
      </w:r>
    </w:p>
    <w:p w14:paraId="10C0AC6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Javnopravno tijelo dužno je nositelju izrade na njegov zahtjev dostaviti i sve raspoložive podatke i drugu dokumentaciju iz svojega djelokruga koji su potrebni za izradu prostornog plana, a koji nisu sadržani u informacijskom sustavu.</w:t>
      </w:r>
    </w:p>
    <w:p w14:paraId="4AA2B28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Ako se prostorni plan radi za područje na kojem se preklapaju nadležnosti više ustrojstvenih jedinica nadležnog javnopravnog tijela, zahtjevi za izradu prostornog plana dostavljaju se objedinjeno.</w:t>
      </w:r>
    </w:p>
    <w:p w14:paraId="5EA7A6F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Javnopravno tijelo nema pravo na naknadu za dostavljene zahtjeve, podatke i drugu dokumentaciju potrebnu za izradu prostornog plana.</w:t>
      </w:r>
    </w:p>
    <w:p w14:paraId="60BDBF0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(6) Ako javnopravno tijelo ne dostavi svoje zahtjeve za izradu prostornog plana nositelju izrade u roku navedenom u odluci o izradi tog prostornog plana, smatra se da takvih zahtjeva nema. U tom slučaju moraju se u izradi i donošenju prostornog plana poštivati uvjeti koje za sadržaj prostornog plana određuju odgovarajući važeći propisi i dokumenti.</w:t>
      </w:r>
    </w:p>
    <w:p w14:paraId="6A56533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Stručna rasprava</w:t>
      </w:r>
    </w:p>
    <w:p w14:paraId="0CC2955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118.</w:t>
      </w:r>
    </w:p>
    <w:p w14:paraId="1FE7B48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 svrhu pribavljanja zahtjeva, smjernica i preporuka značajnih za razvoj, uređenje i oblikovanje prostora te usuglašavanja javnih, privatnih, gospodarskih i ostalih interesa u stručnom rješenju prostornog plana, tijekom izrade nacrta prijedloga prostornog plana provodi se jedna ili više stručnih rasprava.</w:t>
      </w:r>
    </w:p>
    <w:p w14:paraId="1704451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Stručna rasprava ne provodi se prilikom izmjena i/ili dopuna prostornog plana iz stavka 1. ovoga članka kojima se ne povećava granica građevinskog područja, ne planiraju nove namjene površina ili u bitnome ne mijenja stručno rješenje tog prostornog plana.</w:t>
      </w:r>
    </w:p>
    <w:p w14:paraId="19DADB0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Poziv na stručnu raspravu</w:t>
      </w:r>
    </w:p>
    <w:p w14:paraId="7C12197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119.</w:t>
      </w:r>
    </w:p>
    <w:p w14:paraId="5D68270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Nositelj izrade na stručnu raspravu poziva stručnog izrađivača, javnopravna tijela te druge sudionike i korisnike prostora određene odlukom o izradi prostornog plana elektroničkim putem.</w:t>
      </w:r>
    </w:p>
    <w:p w14:paraId="7FAEED5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Kad se za prostorni plan provodi postupak strateške procjene, na stručnu raspravu pozivaju se i članovi povjerenstva za stratešku procjenu, imenovanog prema posebnom propisu iz područja zaštite okoliša.</w:t>
      </w:r>
    </w:p>
    <w:p w14:paraId="74D5329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Zapisnik, zaključak i izvješće o stručnoj raspravi</w:t>
      </w:r>
    </w:p>
    <w:p w14:paraId="3201FBF5"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120.</w:t>
      </w:r>
    </w:p>
    <w:p w14:paraId="112BB5A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O stručnoj raspravi nositelj izrade vodi zapisnik koji potpisuje odgovorna osoba nositelja izrade.</w:t>
      </w:r>
    </w:p>
    <w:p w14:paraId="54E4A4B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Stručna rasprava okončava se zaključkom kojim se utvrđuje da je dvotrećinska većina sudionika stručne rasprave suglasna sa stručnim rješenjem nacrta prijedloga prostornog plana.</w:t>
      </w:r>
    </w:p>
    <w:p w14:paraId="6290645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Ako se zaključak iz stavka 2. ovoga članka ne može donijeti, stručna rasprava mora se ponoviti, a stručni izrađivač u suradnji s nositeljem izrade mora korigirati stručno rješenje nacrta prijedloga plana na temelju primjedbi iz zapisnika sa stručne rasprave.</w:t>
      </w:r>
    </w:p>
    <w:p w14:paraId="58661F3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(4) Nositelj izrade o stručnoj raspravi sastavlja izvješće koje sadrži zaključak iz stavka 2. ovoga članka, popis sudionika i zapisnik sa stručne rasprave te oznaku geometrije iz </w:t>
      </w:r>
      <w:proofErr w:type="spellStart"/>
      <w:r w:rsidRPr="007E17BF">
        <w:rPr>
          <w:rFonts w:ascii="Times New Roman" w:eastAsia="Times New Roman" w:hAnsi="Times New Roman"/>
          <w:color w:val="231F20"/>
          <w:sz w:val="20"/>
          <w:szCs w:val="20"/>
          <w:lang w:eastAsia="hr-HR"/>
        </w:rPr>
        <w:t>ePlanova</w:t>
      </w:r>
      <w:proofErr w:type="spellEnd"/>
      <w:r w:rsidRPr="007E17BF">
        <w:rPr>
          <w:rFonts w:ascii="Times New Roman" w:eastAsia="Times New Roman" w:hAnsi="Times New Roman"/>
          <w:color w:val="231F20"/>
          <w:sz w:val="20"/>
          <w:szCs w:val="20"/>
          <w:lang w:eastAsia="hr-HR"/>
        </w:rPr>
        <w:t xml:space="preserve"> nacrta prijedloga prostornog plana o kojem se na stručnoj raspravi raspravljalo.</w:t>
      </w:r>
    </w:p>
    <w:p w14:paraId="60C96BD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Prijedlog prostornog plana za javnu raspravu</w:t>
      </w:r>
    </w:p>
    <w:p w14:paraId="2A3BA4B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121.</w:t>
      </w:r>
    </w:p>
    <w:p w14:paraId="4D2A2F5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Nakon provedene stručne rasprave okončane zaključkom iz članka 120. stavka 2. ovoga Zakona utvrđuje se prijedlog prostornog plana za javnu raspravu (u daljnjem tekstu: prijedlog prostornog plana).</w:t>
      </w:r>
    </w:p>
    <w:p w14:paraId="6666B49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Prijedlog prostornog plana uz sadržaj propisan člankom 78. ovoga Zakona sadrži i sažetak za javnost.</w:t>
      </w:r>
    </w:p>
    <w:p w14:paraId="0D2A96C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Prijedlog prostornog plana državne razine utvrđuje ministar, prijedlog prostornog plana područne (regionalne) razine utvrđuje župan odnosno gradonačelnik Grada Zagreba, a prijedlog prostornog plana lokalne razine utvrđuje gradonačelnik odnosno općinski načelnik.</w:t>
      </w:r>
    </w:p>
    <w:p w14:paraId="35E6A07D"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Javna rasprava</w:t>
      </w:r>
    </w:p>
    <w:p w14:paraId="6BA7B99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122.</w:t>
      </w:r>
    </w:p>
    <w:p w14:paraId="1C87E26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O prijedlogu prostornog plana provodi se javna rasprava u kojoj može sudjelovati svatko.</w:t>
      </w:r>
    </w:p>
    <w:p w14:paraId="240619C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Javna rasprava sastoji se od javnog uvida, tijekom kojeg je prijedlog plana dostupan javnosti, te jednog ili više javnih izlaganja na kojima nositelj izrade i stručni izrađivač prezentiraju prijedlog prostornog plana javnosti.</w:t>
      </w:r>
    </w:p>
    <w:p w14:paraId="1917F19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Sudionici u javnoj raspravi daju mišljenja, prijedloge i primjedbe na prijedlog prostornog plana u roku i na način propisan ovim Zakonom.</w:t>
      </w:r>
    </w:p>
    <w:p w14:paraId="469CD35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Objava javne rasprave i posebna obavijest o javnoj raspravi</w:t>
      </w:r>
    </w:p>
    <w:p w14:paraId="0964E9D5"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123.</w:t>
      </w:r>
    </w:p>
    <w:p w14:paraId="7F6B447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Javna rasprava o prijedlogu prostornog plana objavljuje se u dnevnom tisku, na mrežnim stranicama nositelja izrade i na mrežnim stranicama Ministarstva.</w:t>
      </w:r>
    </w:p>
    <w:p w14:paraId="512DF93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Objava javne rasprave sadrži mjesto, datum početka i trajanje javnog uvida u prijedlog prostornog plana, mjesto i datum jednog ili više javnih izlaganja, poziv zainteresiranim osobama za sudjelovanje u javnoj raspravi te rok u kojem se nositelju izrade dostavljaju pisana mišljenja, prijedlozi i primjedbe na prijedlog prostornog plana, a objavljuje se najmanje osam dana prije početka javne rasprave.</w:t>
      </w:r>
    </w:p>
    <w:p w14:paraId="6BBDD21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(3) Nositelj izrade osim objave iz stavka 1. ovoga članka, a u roku iz stavka 2. ovoga članka posebnu obavijest o javnoj raspravi objavljuje u informacijskom sustavu putem elektroničkog sustava </w:t>
      </w:r>
      <w:proofErr w:type="spellStart"/>
      <w:r w:rsidRPr="007E17BF">
        <w:rPr>
          <w:rFonts w:ascii="Times New Roman" w:eastAsia="Times New Roman" w:hAnsi="Times New Roman"/>
          <w:color w:val="231F20"/>
          <w:sz w:val="20"/>
          <w:szCs w:val="20"/>
          <w:lang w:eastAsia="hr-HR"/>
        </w:rPr>
        <w:t>ePlanovi</w:t>
      </w:r>
      <w:proofErr w:type="spellEnd"/>
      <w:r w:rsidRPr="007E17BF">
        <w:rPr>
          <w:rFonts w:ascii="Times New Roman" w:eastAsia="Times New Roman" w:hAnsi="Times New Roman"/>
          <w:color w:val="231F20"/>
          <w:sz w:val="20"/>
          <w:szCs w:val="20"/>
          <w:lang w:eastAsia="hr-HR"/>
        </w:rPr>
        <w:t xml:space="preserve"> te je dostavlja:</w:t>
      </w:r>
    </w:p>
    <w:p w14:paraId="6C31E83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javnopravnim tijelima određenim odlukom o izradi prostornog plana</w:t>
      </w:r>
    </w:p>
    <w:p w14:paraId="51A7606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2. drugim sudionicima korisnicima prostora koji dostavljaju zahtjeve za izradu te sudjeluju u javnoj raspravi određenoj odlukom o izradi prostornog plana</w:t>
      </w:r>
    </w:p>
    <w:p w14:paraId="1D29123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mjesnim odborima odnosno gradskim četvrtima za područje obuhvata prijedloga generalnog urbanističkog plana i prijedloga urbanističkog plana uređenja.</w:t>
      </w:r>
    </w:p>
    <w:p w14:paraId="4BACFC4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Javni uvid i javno izlaganje</w:t>
      </w:r>
    </w:p>
    <w:p w14:paraId="46564ADD"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124.</w:t>
      </w:r>
    </w:p>
    <w:p w14:paraId="7782E6C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 skladu s objavom javne rasprave, prijedlog prostornog plana stavlja se na javni uvid na mrežne stranice nositelja izrade prostornog plana i u informacijski sustav.</w:t>
      </w:r>
    </w:p>
    <w:p w14:paraId="73DC997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Javni uvid u prijedlog prostornog plana traje 30 dana, a u prijedlog izmjena i dopuna ili prijedlog stavljanja izvan snage prostornog plana najviše 30, a najmanje 15 dana osim kada se za izmjene i dopune prostornog plana provodi strateška procjena kada traje 30 dana.</w:t>
      </w:r>
    </w:p>
    <w:p w14:paraId="70F7579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Tijekom javne rasprave nositelj izrade organizira, ovisno o složenosti prostornog plana, jedno ili više javnih izlaganja radi obrazloženja rješenja, smjernica i mjera odnosno razloga za stavljanje izvan snage prostornog plana, koje daju nositelj izrade, stručni izrađivač i prema potrebi drugi stručnjaci koji sudjeluju u izradi prostornog plana.</w:t>
      </w:r>
    </w:p>
    <w:p w14:paraId="5BE8507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O javnom izlaganju nositelj izrade vodi zapisnik koji sadrži pitanja, mišljenja, prijedloge i primjedbe sudionika javne rasprave danih za vrijeme javnog izlaganja te odgovore na pitanja koje daju osobe iz stavka 3. ovoga članka, a potpisuje ga odgovorna osoba nositelja izrade.</w:t>
      </w:r>
    </w:p>
    <w:p w14:paraId="7A62BA04"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Način sudjelovanja sudionika u javnoj raspravi</w:t>
      </w:r>
    </w:p>
    <w:p w14:paraId="388729C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125.</w:t>
      </w:r>
    </w:p>
    <w:p w14:paraId="345AC11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Sudionici sudjeluju u javnoj raspravi tako da:</w:t>
      </w:r>
    </w:p>
    <w:p w14:paraId="18AE444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imaju pravo na uvid u prijedlog prostornog plana</w:t>
      </w:r>
    </w:p>
    <w:p w14:paraId="707D549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postavljaju pitanja tijekom javnog izlaganja o predloženim rješenjima, na koja usmeno odgovaraju osobe koje vode javno izlaganje</w:t>
      </w:r>
    </w:p>
    <w:p w14:paraId="1323230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daju prijedloge i primjedbe u zapisnik za vrijeme javnog izlaganja</w:t>
      </w:r>
    </w:p>
    <w:p w14:paraId="4603E59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upućuju nositelju izrade pisane prijedloge i primjedbe u roku i na način određen u objavi o javnoj raspravi.</w:t>
      </w:r>
    </w:p>
    <w:p w14:paraId="1E8C8D9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Prijedlozi i primjedbe iz stavka 1. ovoga članka koji nisu dostavljeni u roku ili nisu čitljivo napisani, nositelj izrade nije dužan uvažiti.</w:t>
      </w:r>
    </w:p>
    <w:p w14:paraId="1121376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Mišljenja javnopravnih tijela</w:t>
      </w:r>
    </w:p>
    <w:p w14:paraId="4257E1F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126.</w:t>
      </w:r>
    </w:p>
    <w:p w14:paraId="4085396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Ako se u postupku izrade prostornog plana prethodno nije provodila stručna rasprava, javnopravno tijelo koje je dalo svoje zahtjeve za izradu prostornog plana u javnoj raspravi sudjeluje davanjem mišljenja o prihvaćanju tih zahtjeva.</w:t>
      </w:r>
    </w:p>
    <w:p w14:paraId="51F8928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Kad se u postupku izrade prostornog plana prethodno provela stručna rasprava okončana zaključkom iz članka 120. stavka 2. ovoga Zakona, javnopravno tijelo u javnoj raspravi može dati svoje mišljenje na prijedlog plana samo ako je on bitno izmijenjen u odnosu na nacrt prijedloga plana iz izvješća o stručnoj raspravi iz članka 120. stavka 4. ovoga Zakona.</w:t>
      </w:r>
    </w:p>
    <w:p w14:paraId="481A9BB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Mišljenje iz stavaka 1. i 2. ovoga članka, ako prijedlog prostornog plana nije u skladu sa zahtjevima javnopravnog tijela odnosno ako je promijenjen u odnosu na stručno rješenje nacrta prijedloga plana iz izvješća o stručnoj raspravi okončanoj zaključkom iz članka 120. stavka 2. ovoga Zakona, javnopravno tijelo mora obrazložiti navodeći u čemu se sastoji neusklađenost prijedloga prostornog plana u javnoj raspravi.</w:t>
      </w:r>
    </w:p>
    <w:p w14:paraId="3FD47E5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Ako javnopravno tijelo sukladno stavku 3. ovoga članka ne obrazloži svoje mišljenje, nositelj izrade takvo mišljenje nije dužan uvažiti.</w:t>
      </w:r>
    </w:p>
    <w:p w14:paraId="55FEC42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U mišljenju iz stavaka 1. i 2. ovoga članka javnopravno tijelo ne može postavljati nove ili drukčije zahtjeve od onih koje je već prethodno dalo u postupku izrade i donošenja prostornog plana.</w:t>
      </w:r>
    </w:p>
    <w:p w14:paraId="29B857D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Mišljenja iz stavaka 1. i 2. ovoga članka koja nisu dostavljena u roku nositelj izrade nije dužan uvažiti.</w:t>
      </w:r>
    </w:p>
    <w:p w14:paraId="200E07F4"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Izvješće o javnoj raspravi</w:t>
      </w:r>
    </w:p>
    <w:p w14:paraId="5553EE5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127.</w:t>
      </w:r>
    </w:p>
    <w:p w14:paraId="0FEC2DA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Stručni izrađivač u suradnji s nositeljem izrade razmatra i donosi ocjenu o prihvatljivosti ili djelomičnoj prihvatljivosti mišljenja, prijedloga i primjedbi iznesenih u javnoj raspravi i priprema izvješće o javnoj raspravi.</w:t>
      </w:r>
    </w:p>
    <w:p w14:paraId="729FCDD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Izvješće o javnoj raspravi objavljuje se na mrežnim stranicama nositelja izrade prostornog plana i u informacijskom sustavu.</w:t>
      </w:r>
    </w:p>
    <w:p w14:paraId="77A85BB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Izvješće o javnoj raspravi o prijedlogu prostornog plana sadrži:</w:t>
      </w:r>
    </w:p>
    <w:p w14:paraId="10D4492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podatke iz objave javne rasprave</w:t>
      </w:r>
    </w:p>
    <w:p w14:paraId="3B0697B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popis sudionika u javnoj raspravi koji su pozvani posebnom obavijesti o javnoj raspravi</w:t>
      </w:r>
    </w:p>
    <w:p w14:paraId="06F6EC5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popis sudionika u javnoj raspravi čija su mišljenja, prijedlozi i primjedbe na prijedlog prostornog plana prihvaćeni</w:t>
      </w:r>
    </w:p>
    <w:p w14:paraId="49D5D3E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4. mišljenja, prijedloge i primjedbe sudionika u javnoj raspravi koji nisu prihvaćeni ili su djelomično prihvaćeni s obrazloženjem razloga neprihvaćanja</w:t>
      </w:r>
    </w:p>
    <w:p w14:paraId="2B2ECF8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popis sudionika u javnoj raspravi čija mišljenja, prijedlozi i primjedbe nisu razmatrani zbog razloga propisanih ovim Zakonom.</w:t>
      </w:r>
    </w:p>
    <w:p w14:paraId="3DDD72D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Akti i drugi dokazi objave javne rasprave, posebne pisane obavijesti o javnoj raspravi, zapisnici o javnim izlaganjima, mišljenja javnopravnih tijela i dokazi sudjelovanja u javnom izlaganju pozvanih sudionika u javnoj raspravi sastavni su dio izvješća o javnoj raspravi.</w:t>
      </w:r>
    </w:p>
    <w:p w14:paraId="738BB6C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Prije upućivanja konačnog prijedloga prostornog plana lokalne razine predstavničkom tijelu na donošenje, nositelj izrade dostavlja sudionicima javne rasprave pisanu obavijest o tome s obrazloženjem o razlozima neprihvaćanja odnosno djelomičnog prihvaćanja njihovih mišljenja, prijedloga i primjedbi.</w:t>
      </w:r>
    </w:p>
    <w:p w14:paraId="51EF3F1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Ako se u postupku izrade i donošenja prostornog plana javna rasprava ponavlja, izvješće o provedenoj javnoj raspravi mora se objaviti prije utvrđivanja prijedloga plana za ponovnu javnu raspravu.</w:t>
      </w:r>
    </w:p>
    <w:p w14:paraId="62533C2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Ponovna javna rasprava</w:t>
      </w:r>
    </w:p>
    <w:p w14:paraId="2E36865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128.</w:t>
      </w:r>
    </w:p>
    <w:p w14:paraId="7CCDAFD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Ponovna javna rasprava provodi se ako se prijedlog prostornog plana zbog prihvaćenih mišljenja, prijedloga i primjedbi u javnoj raspravi ili zbog drugih razloga promijeni tako da:</w:t>
      </w:r>
    </w:p>
    <w:p w14:paraId="79DEE5C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nova rješenja nisu u skladu s ciljevima i sadržajima te programskim polazištima iz odluke o izradi prostornog plana</w:t>
      </w:r>
    </w:p>
    <w:p w14:paraId="7722D37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se novim rješenjem promijeni granica građevinskog područja</w:t>
      </w:r>
    </w:p>
    <w:p w14:paraId="0E1889E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se novim rješenjem bitno promijeni namjena površina</w:t>
      </w:r>
    </w:p>
    <w:p w14:paraId="5E6E2F0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se novim rješenjem utječe na vlasničke odnose i stečena prava.</w:t>
      </w:r>
    </w:p>
    <w:p w14:paraId="440E81B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Javni uvid u ponovnoj javnoj raspravi traje 15 dana.</w:t>
      </w:r>
    </w:p>
    <w:p w14:paraId="7B9364C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Nova mišljenja, prijedlozi i primjedbe na izmijenjen prijedlog prostornog plana mogu se podnositi samo u vezi s dijelovima prijedloga prostornog plana koji su u odnosu na prvi prijedlog izmijenjeni.</w:t>
      </w:r>
    </w:p>
    <w:p w14:paraId="608F216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Ponovna javna rasprava objavljuje se na način propisan za objavu javne rasprave, a provodi se odgovarajućom primjenom odredbi ovoga Zakona kojima je uređena provedba javne rasprave.</w:t>
      </w:r>
    </w:p>
    <w:p w14:paraId="6E0256B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Ponovna javna rasprava može se provoditi najviše tri puta, nakon čega se donosi nova odluka o izradi prostornog plana i provodi novi postupak izrade.</w:t>
      </w:r>
    </w:p>
    <w:p w14:paraId="6AC4CD6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Konačni prijedlog prostornog plana</w:t>
      </w:r>
    </w:p>
    <w:p w14:paraId="1B096B4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129.</w:t>
      </w:r>
    </w:p>
    <w:p w14:paraId="53660BF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Nacrt konačnog prijedloga prostornog plana izrađuje stručni izrađivač u suradnji s nositeljem izrade nakon što je provedena javna rasprava i izrađeno izvješće o javnoj raspravi.</w:t>
      </w:r>
    </w:p>
    <w:p w14:paraId="0CE5D5E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Nacrt konačnog prijedloga prostornog plana odnosno konačni prijedlog prostornog plana imaju sadržaj propisan člankom 78. ovoga Zakona.</w:t>
      </w:r>
    </w:p>
    <w:p w14:paraId="684BCA3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Na temelju nacrta konačnog prijedloga prostornog plana, izrađenog u skladu s izvješćem o javnoj raspravi, konačni prijedlog prostornog plana utvrđuje isto tijelo koje je utvrdilo i prijedlog prostornog plana.</w:t>
      </w:r>
    </w:p>
    <w:p w14:paraId="3E99B53D"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Mišljenje zavoda</w:t>
      </w:r>
    </w:p>
    <w:p w14:paraId="29CAB86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130.</w:t>
      </w:r>
    </w:p>
    <w:p w14:paraId="6111400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Prije donošenja prostornog plana uređenja grada odnosno općine, generalnog urbanističkog plana i urbanističkog plana uređenja mora se pribaviti mišljenje zavoda za prostorno uređenje županije u pogledu usklađenosti tog plana s prostornim planom županije i s ovim Zakonom.</w:t>
      </w:r>
    </w:p>
    <w:p w14:paraId="6DD31D7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Zavod za prostorno uređenje županije dužan je mišljenje iz stavka 1. ovoga članka izdati i dostaviti ga nositelju izrade najkasnije u roku od 30 dana od dana primitka zahtjeva nositelja izrade za davanje mišljenja.</w:t>
      </w:r>
    </w:p>
    <w:p w14:paraId="571F64C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Zavod za prostorno uređenje županije nadzire cjelokupni postupak izrade i donošenja prostornih planova iz stavka 1. ovoga članka, te je nositelj njihove izrade dužan Zavod redovito obavještavati o svakoj pojedinoj fazi izrade i donošenja prostornog plana, kao i redovito dostavljati svu relevantnu dokumentaciju.</w:t>
      </w:r>
    </w:p>
    <w:p w14:paraId="6A69353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Mišljenje iz stavka 1. ovoga članka ne pribavlja se o prostornom planu čiji je stručni izrađivač ili koordinator zavod za prostorno uređenje županije.</w:t>
      </w:r>
    </w:p>
    <w:p w14:paraId="612BC83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Suglasnost Ministarstva</w:t>
      </w:r>
    </w:p>
    <w:p w14:paraId="67ADA1A7"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131.</w:t>
      </w:r>
    </w:p>
    <w:p w14:paraId="0B1F672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Prije donošenja prostornog plana županije odnosno Grada Zagreba, generalnog urbanističkog plana, prostornog plana uređenja grada ili općine unutar ZOP-a, te urbanističkog plana uređenja unutar prostora ograničenja, pribavlja se suglasnost Ministarstva u pogledu usklađenosti s ovim Zakonom.</w:t>
      </w:r>
    </w:p>
    <w:p w14:paraId="4EC5E53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(2) Ministarstvo nadzire cjelokupni postupak izrade i donošenja prostornih planova iz stavka 1. ovoga članka putem sustava </w:t>
      </w:r>
      <w:proofErr w:type="spellStart"/>
      <w:r w:rsidRPr="007E17BF">
        <w:rPr>
          <w:rFonts w:ascii="Times New Roman" w:eastAsia="Times New Roman" w:hAnsi="Times New Roman"/>
          <w:color w:val="231F20"/>
          <w:sz w:val="20"/>
          <w:szCs w:val="20"/>
          <w:lang w:eastAsia="hr-HR"/>
        </w:rPr>
        <w:t>ePlanovi</w:t>
      </w:r>
      <w:proofErr w:type="spellEnd"/>
      <w:r w:rsidRPr="007E17BF">
        <w:rPr>
          <w:rFonts w:ascii="Times New Roman" w:eastAsia="Times New Roman" w:hAnsi="Times New Roman"/>
          <w:color w:val="231F20"/>
          <w:sz w:val="20"/>
          <w:szCs w:val="20"/>
          <w:lang w:eastAsia="hr-HR"/>
        </w:rPr>
        <w:t>, te je nositelj njihove izrade dužan Ministarstvo redovito obavještavati o svakoj pojedinoj fazi izrade i donošenja prostornog plana, kao i redovito dostavljati svu relevantnu dokumentaciju.</w:t>
      </w:r>
    </w:p>
    <w:p w14:paraId="18F74DD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(3) Ako Ministarstvo u konačnom prijedlogu prostornog plana utvrdi neusklađenosti s ovim Zakonom, obavijestit će dopisom nositelja izrade i zatražiti da se u roku od 90 dana od zaprimanja dopisa ispravi konačni prijedlog prostornog plana prije izdavanja suglasnosti iz stavka 1. ovoga članka.</w:t>
      </w:r>
    </w:p>
    <w:p w14:paraId="6272094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Ministarstvo je dužno izdati suglasnost iz stavka 1. ovoga članka ili dopisom obavijestiti nositelja izrade sukladno stavku 3. ovoga članka u roku od 90 dana od zaprimanja urednog zahtjeva za izdavanje suglasnosti.</w:t>
      </w:r>
    </w:p>
    <w:p w14:paraId="4BDB7A6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Ako nositelj izrade u roku iz stavka 3. ovoga članka ne postupi po traženju Ministarstva, Ministarstvo će odbiti izdati suglasnost, a postupak izrade i donošenja prostornog plana se obustavlja te se odluka o izradi prostornog plana stavlja izvan snage.</w:t>
      </w:r>
    </w:p>
    <w:p w14:paraId="3DF4B54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Ako se u postupku donošenja prostornog plana iz stavka 1. ovoga članka konačni prijedlog prostornog plana dopunjava i/ili mijenja amandmanima predstavničkog tijela, donošenju tog prostornog plana pristupa se nakon što nositelj izrade pribavi suglasnost Ministarstva.</w:t>
      </w:r>
    </w:p>
    <w:p w14:paraId="6FDB9DD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U svrhu izdavanja suglasnosti iz stavka 1. ovoga članka, Ministarstvo može od javnopravnih tijela i drugih osoba zatražiti mišljenja iz članka 126. ovoga Zakona.</w:t>
      </w:r>
    </w:p>
    <w:p w14:paraId="57441A2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(8) Rok za izdavanje mišljenja iz stavka 7. ovoga članka je 15 dana.</w:t>
      </w:r>
    </w:p>
    <w:p w14:paraId="6AAC0F2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(9) Ako javnopravna tijela ne dostave svoje mišljenje u roku iz stavka 8. ovoga članka, smatra se da je mišljenje dano i da nema primjedbi.</w:t>
      </w:r>
    </w:p>
    <w:p w14:paraId="65CF165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Nadležnost za donošenje prostornih planova</w:t>
      </w:r>
    </w:p>
    <w:p w14:paraId="54994ED7"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132.</w:t>
      </w:r>
    </w:p>
    <w:p w14:paraId="1872674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Državni plan prostornog razvoja i prostorne planove područja posebnih obilježja donosi Hrvatski sabor.</w:t>
      </w:r>
    </w:p>
    <w:p w14:paraId="77F0A1B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Urbanistički plan uređenja od državnog značaja donosi Vlada.</w:t>
      </w:r>
    </w:p>
    <w:p w14:paraId="657A1AD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Prostorni plan županije odnosno Grada Zagreba, urbanistički plan uređenja od županijskog značaja donosi županijska skupština odnosno skupština Grada Zagreba.</w:t>
      </w:r>
    </w:p>
    <w:p w14:paraId="1865818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Prostorni plan uređenja grada odnosno općine, generalni urbanistički plan, urbanistički plan uređenja od lokalnog značaja donosi skupština Grada Zagreba, gradsko vijeće odnosno općinsko vijeće.</w:t>
      </w:r>
    </w:p>
    <w:p w14:paraId="0925F6F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Objava odluke o donošenju prostornog plana</w:t>
      </w:r>
    </w:p>
    <w:p w14:paraId="107F8DE4"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133.</w:t>
      </w:r>
    </w:p>
    <w:p w14:paraId="08730D7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Odluka o donošenju prostornog plana državne razine objavljuje se u »Narodnim novinama«, odluka o donošenju prostornog plana koji donosi županijska skupština odnosno skupština Grada Zagreba objavljuje se u službenom glasilu jedinice područne (regionalne) samouprave koja je odluku donijela, a odluka o donošenju prostornog plana koji donosi gradsko odnosno općinsko vijeće objavljuje se u službenom glasilu jedinice lokalne samouprave, a ako toga glasila nema, tada u službenom glasilu jedinice područne (regionalne) samouprave.</w:t>
      </w:r>
    </w:p>
    <w:p w14:paraId="40D94DF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(2) Odluka o donošenju prostornog plana objavljuje se i u informacijskom sustavu putem elektroničkog sustava </w:t>
      </w:r>
      <w:proofErr w:type="spellStart"/>
      <w:r w:rsidRPr="007E17BF">
        <w:rPr>
          <w:rFonts w:ascii="Times New Roman" w:eastAsia="Times New Roman" w:hAnsi="Times New Roman"/>
          <w:color w:val="231F20"/>
          <w:sz w:val="20"/>
          <w:szCs w:val="20"/>
          <w:lang w:eastAsia="hr-HR"/>
        </w:rPr>
        <w:t>ePlanovi</w:t>
      </w:r>
      <w:proofErr w:type="spellEnd"/>
      <w:r w:rsidRPr="007E17BF">
        <w:rPr>
          <w:rFonts w:ascii="Times New Roman" w:eastAsia="Times New Roman" w:hAnsi="Times New Roman"/>
          <w:color w:val="231F20"/>
          <w:sz w:val="20"/>
          <w:szCs w:val="20"/>
          <w:lang w:eastAsia="hr-HR"/>
        </w:rPr>
        <w:t xml:space="preserve"> najkasnije 15 dana od dana objave te odluke u službenom glasilu iz stavka 1. ovoga članka.</w:t>
      </w:r>
    </w:p>
    <w:p w14:paraId="6B903F7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Sadržaj odluke o donošenju prostornog plana</w:t>
      </w:r>
    </w:p>
    <w:p w14:paraId="17DE959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134.</w:t>
      </w:r>
    </w:p>
    <w:p w14:paraId="511C821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Odluka o donošenju prostornog plana sadrži:</w:t>
      </w:r>
    </w:p>
    <w:p w14:paraId="4DB8735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utvrđenje o donošenju prostornog plana, uključujući i naziv plana</w:t>
      </w:r>
    </w:p>
    <w:p w14:paraId="382DC48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naziv, tvrtku odnosno ime stručnog izrađivača prostornog plana</w:t>
      </w:r>
    </w:p>
    <w:p w14:paraId="4ED8FC1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odredbe za provedbu prostornog plana</w:t>
      </w:r>
    </w:p>
    <w:p w14:paraId="754B7C5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kartografski prikaz prostornog plana</w:t>
      </w:r>
    </w:p>
    <w:p w14:paraId="6BEDA66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obrazloženje prostornog plana</w:t>
      </w:r>
    </w:p>
    <w:p w14:paraId="1715182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odredbu o prestanku važenja odnosno važenju prostornog plana koji je bio na snazi do donošenja novog prostornog plana, ako takav postoji</w:t>
      </w:r>
    </w:p>
    <w:p w14:paraId="1F4D6C1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odredbu o stupanju na snagu prostornog plana.</w:t>
      </w:r>
    </w:p>
    <w:p w14:paraId="783762F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Odredbe za provedbu prostornog plana, kartografski prikazi i obrazloženje su prilog odluke o donošenju prostornog plana i objavljuju se u službenom glasilu, u elektroničkom obliku na mrežnim stranicama i u informacijskom sustavu u roku od 30 dana od stupanja na snagu odluke o donošenju prostornog plana.</w:t>
      </w:r>
    </w:p>
    <w:p w14:paraId="7FDDD1E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Izmjene, dopune i stavljanje izvan snage prostornih planova</w:t>
      </w:r>
    </w:p>
    <w:p w14:paraId="7BC9D80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135.</w:t>
      </w:r>
    </w:p>
    <w:p w14:paraId="0971EB1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Odredbe ovoga Zakona kojima je uređena izrada i donošenje prostornih planova na odgovarajući se način primjenjuju na izradu i donošenje izmjena i dopuna prostornih planova te njihovo stavljanje izvan snage, ako ovim Zakonom nije propisano drukčije.</w:t>
      </w:r>
    </w:p>
    <w:p w14:paraId="7254F47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Izmjene i dopune prostornih planova različitog obuhvata i/ili razine mogu se izrađivati i donositi istodobno.</w:t>
      </w:r>
    </w:p>
    <w:p w14:paraId="4033B05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(3) Nakon svake izmjene i/ili dopune prostornog plana nositelj izrade dužan je objaviti odluku i priloge koji sadrže odredbe za provedbu prostornog plana, kartografske prikaze i obrazloženja u službenom glasilu, u elektroničkom obliku </w:t>
      </w:r>
      <w:r w:rsidRPr="007E17BF">
        <w:rPr>
          <w:rFonts w:ascii="Times New Roman" w:eastAsia="Times New Roman" w:hAnsi="Times New Roman"/>
          <w:color w:val="231F20"/>
          <w:sz w:val="20"/>
          <w:szCs w:val="20"/>
          <w:lang w:eastAsia="hr-HR"/>
        </w:rPr>
        <w:lastRenderedPageBreak/>
        <w:t>na svojim mrežnim stranicama i u informacijskom sustavu u roku od 30 dana od stupanja na snagu odluke o donošenju izmjena i/ili dopuna prostornog plana.</w:t>
      </w:r>
    </w:p>
    <w:p w14:paraId="1A016A34" w14:textId="77777777" w:rsid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Prikaz izmjena i dopuna odredbi za provedbu i kartografskih prikaza prostornog plana sastavni je dio obrazloženja izmjena i dopuna prostornog plana.</w:t>
      </w:r>
    </w:p>
    <w:p w14:paraId="2357ADB7" w14:textId="77777777" w:rsidR="00D2578D"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6764068A" w14:textId="77777777" w:rsidR="00D2578D" w:rsidRPr="007E17BF"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435409E2" w14:textId="0D41CF80" w:rsidR="007E17BF" w:rsidRPr="007E17BF" w:rsidRDefault="007E17BF" w:rsidP="00D2578D">
      <w:pPr>
        <w:pStyle w:val="Naslov3"/>
        <w:rPr>
          <w:lang w:eastAsia="hr-HR"/>
        </w:rPr>
      </w:pPr>
      <w:bookmarkStart w:id="20" w:name="_Toc219166937"/>
      <w:r w:rsidRPr="007E17BF">
        <w:rPr>
          <w:lang w:eastAsia="hr-HR"/>
        </w:rPr>
        <w:t>DIO ŠESTI</w:t>
      </w:r>
      <w:r w:rsidR="00D2578D">
        <w:rPr>
          <w:lang w:eastAsia="hr-HR"/>
        </w:rPr>
        <w:t xml:space="preserve">   </w:t>
      </w:r>
      <w:r w:rsidRPr="007E17BF">
        <w:rPr>
          <w:lang w:eastAsia="hr-HR"/>
        </w:rPr>
        <w:t>URBANA KOMASACIJA</w:t>
      </w:r>
      <w:bookmarkEnd w:id="20"/>
    </w:p>
    <w:p w14:paraId="0A0BF76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Općenito</w:t>
      </w:r>
    </w:p>
    <w:p w14:paraId="081EC4C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136.</w:t>
      </w:r>
    </w:p>
    <w:p w14:paraId="1F70773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Provedba postupka urbane komasacije od interesa je za Republiku Hrvatsku.</w:t>
      </w:r>
    </w:p>
    <w:p w14:paraId="3899454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Urbana komasacija na području građevinskog zemljišta može se provesti:</w:t>
      </w:r>
    </w:p>
    <w:p w14:paraId="6B04852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na temelju donesenog urbanističkog plana uređenja ako su istim utvrđene građevne čestice u obuhvatu komasacijskog područja</w:t>
      </w:r>
    </w:p>
    <w:p w14:paraId="2774C50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na temelju donesenog urbanističkog projekta kada je urbanističkim planom uređenja utvrđeno samo područje obuhvata komasacijskog područja.</w:t>
      </w:r>
    </w:p>
    <w:p w14:paraId="45B8005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Preraspodjela građevinskih parcela provodi se tako da se, kad god je to moguće, vlasniku dodijeli barem jedna građevinska čestica s položajem koji je isti ili sličan zemljištu koje je uvršteno u komasacijsku masu, na temelju mjere površine ili na temelju mjere vrijednosti.</w:t>
      </w:r>
    </w:p>
    <w:p w14:paraId="3EF24FD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Na temelju mjere površine zemljišta, svaki vlasnik ima pravo na građevinsko zemljište u površini čestice koja je uključena u komasacijsku masu, umanjeno za udio površine koji će se koristiti u javne svrhe, a koji utvrđuje Ministarstvo na prijedlog Stalnog državnog povjerenstva za urbanu komasaciju.</w:t>
      </w:r>
    </w:p>
    <w:p w14:paraId="70EEC2F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Na temelju mjere vrijednosti zemljišta, svaki vlasnik ima pravo na jednu ili više građevinskih čestica, čija tržišna vrijednost nakon urbane komasacije (vrijednost nakon komasacije) odgovara najmanjoj vrijednosti građevinskog zemljišta uključenog u komasacijsku masu (vrijednost prije komasacije).</w:t>
      </w:r>
    </w:p>
    <w:p w14:paraId="12B9D32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Iznimno od stavka 5. ovoga članka, moguće je da vlasnik zemljišta po okončanju postupka urbane komasacije ne dobije u vlasništvo novoformiranu građevinsku česticu, već se obeštetiti isplatom naknade u visini tržišne vrijednosti njegova zemljišta ako su kumulativno ispunjeni sljedeći uvjeti:</w:t>
      </w:r>
    </w:p>
    <w:p w14:paraId="7DE7123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ukupna površina zemljišta jednog vlasnika koje je ušlo u komasacijsku masu ne odgovara barem površini najmanje građevne čestice određene urbanističkim planom uređenja ili urbanističkim projektom nakon umanjenja za površinu koja je bila potrebna za formiranje građevnih čestica za javnu namjenu</w:t>
      </w:r>
    </w:p>
    <w:p w14:paraId="24B333B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ukupna površina zemljišta jednog vlasnika koje je ušlo u komasacijsku masu manja je od 10 % od ukupne površine zemljišta u komasacijskoj masi.</w:t>
      </w:r>
    </w:p>
    <w:p w14:paraId="09D36B5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Iznimno od stavka 6. ovog članka, ako je stranka na čiji je zahtjev pokrenut postupak urbane komasacije u mogućnosti osigurati drugu odgovarajuću nekretninu, vlasniku se može, umjesto naknade prenijeti u vlasništvo i druga odgovarajuća nekretnina čija tržišna vrijednost odgovara visini tržišne vrijednosti nekretnine koja je ušla u komasacijsku masu.</w:t>
      </w:r>
    </w:p>
    <w:p w14:paraId="0EC8BD9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(8) Razlika u površini između dodijeljene i unesene površine, a nakon odbitka dijela površine za javne namjene (prema kriterijima unesene površine i unesene vrijednosti zemljišta), nadoknađuje se u novcu u visini tržišne vrijednosti zemljišta.</w:t>
      </w:r>
    </w:p>
    <w:p w14:paraId="461F434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(9) U situacijama kada je Republika Hrvatska jedna od stranaka u postupku, zemljište za zajedničke i opće potrebe osigurava se najprije iz zemljišta u vlasništvu Republike Hrvatske, a potom od ostalih stranaka u postupku.</w:t>
      </w:r>
    </w:p>
    <w:p w14:paraId="386484F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Komasacijsko područje, komasacijska masa i stranke u postupku</w:t>
      </w:r>
    </w:p>
    <w:p w14:paraId="034E860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137.</w:t>
      </w:r>
    </w:p>
    <w:p w14:paraId="7677684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Područje urbane komasacije određuje se urbanističkim planom uređenja ili urbanističkim projektom u skladu s kojim se urbana komasacija provodi.</w:t>
      </w:r>
    </w:p>
    <w:p w14:paraId="5DE8EB3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Predmet urbane komasacije su sva zemljišta na području urbane komasacije osim:</w:t>
      </w:r>
    </w:p>
    <w:p w14:paraId="4B94E2B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građevnih čestica izgrađenih u skladu s urbanističkim planom uređenja</w:t>
      </w:r>
    </w:p>
    <w:p w14:paraId="29CA6DB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neizgrađenih čestica koje imaju oblik i površinu određenu urbanističkim planom uređenja</w:t>
      </w:r>
    </w:p>
    <w:p w14:paraId="55E0845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izgrađenih čestica koje se promjenom oblika i površine mogu uskladiti s urbanističkim planom uređenja.</w:t>
      </w:r>
    </w:p>
    <w:p w14:paraId="2140C1B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Iznimno, čestice iz stavka 2. ovoga članka mogu biti predmet urbane komasacije ako se njihova površina i oblik mijenjaju u svrhu javnog interesa.</w:t>
      </w:r>
    </w:p>
    <w:p w14:paraId="4C53417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(4) U slučaju iz stavka 3. ovoga članka, nakon provedene urbane komasacije čestice se moraju formirati tako da ostanu zadovoljeni trenutačni uvjeti određeni urbanističkim planom uređenja tih građevnih čestica kako se ne bi utjecalo na trenutačno izdane akte ili kako se ne bi smanjila mogućnost trenutačne </w:t>
      </w:r>
      <w:proofErr w:type="spellStart"/>
      <w:r w:rsidRPr="007E17BF">
        <w:rPr>
          <w:rFonts w:ascii="Times New Roman" w:eastAsia="Times New Roman" w:hAnsi="Times New Roman"/>
          <w:color w:val="231F20"/>
          <w:sz w:val="20"/>
          <w:szCs w:val="20"/>
          <w:lang w:eastAsia="hr-HR"/>
        </w:rPr>
        <w:t>izgradivosti</w:t>
      </w:r>
      <w:proofErr w:type="spellEnd"/>
      <w:r w:rsidRPr="007E17BF">
        <w:rPr>
          <w:rFonts w:ascii="Times New Roman" w:eastAsia="Times New Roman" w:hAnsi="Times New Roman"/>
          <w:color w:val="231F20"/>
          <w:sz w:val="20"/>
          <w:szCs w:val="20"/>
          <w:lang w:eastAsia="hr-HR"/>
        </w:rPr>
        <w:t xml:space="preserve"> neizgrađenih čestica.</w:t>
      </w:r>
    </w:p>
    <w:p w14:paraId="310486B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(5) Stranke u postupku urbane komasacije su vlasnici i nositelji drugih stvarnih prava na zemljištu koje je predmet urbane komasacije, državno odvjetništvo te jedinica lokalne samouprave na čijem području se provodi postupak urbane komasacije.</w:t>
      </w:r>
    </w:p>
    <w:p w14:paraId="15B0212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Ako je postupak urbane komasacije pokrenut na zahtjev predstavničkog tijela jedinice područne (regionalne) samouprave, i jedinica područne (regionalne) samouprave je stranka u postupku.</w:t>
      </w:r>
    </w:p>
    <w:p w14:paraId="20F56BE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Komasacijski fond je poseban račun koji otvara i vodi provoditelj komasacije na koji će se uplaćivati novčani iznosi koje su obvezni uplatiti sudionici komasacije s osnove razlike u površini zemljišta.</w:t>
      </w:r>
    </w:p>
    <w:p w14:paraId="02394B5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Postupak urbane komasacije</w:t>
      </w:r>
    </w:p>
    <w:p w14:paraId="6B0D35C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138.</w:t>
      </w:r>
    </w:p>
    <w:p w14:paraId="74D605D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Postupak urbane komasacije je upravni postupak koji provodi Ministarstvo.</w:t>
      </w:r>
    </w:p>
    <w:p w14:paraId="51A9F59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Postupak urbane komasacije pokreće se na zahtjev:</w:t>
      </w:r>
    </w:p>
    <w:p w14:paraId="003EC95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Vlade Republike Hrvatske, za urbane komasacije od državnog značaja</w:t>
      </w:r>
    </w:p>
    <w:p w14:paraId="03BFE12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predstavničkog tijela jedinice područne (regionalne) samouprave, za urbane komasacije od područnog (regionalnog) značaja</w:t>
      </w:r>
    </w:p>
    <w:p w14:paraId="732CA1D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predstavničkog tijela jedinice lokalne samouprave, za urbane komasacije od lokalnog značaja</w:t>
      </w:r>
    </w:p>
    <w:p w14:paraId="124A21D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vlasnika na katastarskim česticama unutar komasacijskog područja čija površina predstavlja najmanje 51 % površine komasacijskog područja.</w:t>
      </w:r>
    </w:p>
    <w:p w14:paraId="4102041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Stalno državno povjerenstvo za urbanu komasaciju imenuje ministar.</w:t>
      </w:r>
    </w:p>
    <w:p w14:paraId="0564847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O zahtjevu za pokretanje postupka urbane komasacije Ministarstvo odlučuje rješenjem, na prijedlog Stalnog državnog povjerenstva za urbanu komasaciju.</w:t>
      </w:r>
    </w:p>
    <w:p w14:paraId="7C395D2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U slučaju iz stavka 2. točke 4. ovoga članka Ministarstvo će pribaviti prethodno mišljenje jedinice lokalne samouprave.</w:t>
      </w:r>
    </w:p>
    <w:p w14:paraId="3FB6ADC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Ministarstvo je obvezno u roku od osam dana od donošenja rješenja iz stavka 4. ovoga Zakona nadležnom sudu dostaviti prijedlog za zabilježbu postupka urbane komasacije u zemljišnim ili drugim javnim knjigama, a nadležni sud će, na prijedlog Ministarstva ili po službenoj dužnosti, upisati zabilježbu početka postupka urbane komasacije u zemljišnim knjigama.</w:t>
      </w:r>
    </w:p>
    <w:p w14:paraId="5E358F9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Nakon provedbe postupka urbane komasacije Ministarstvo, na prijedlog Stalnog državnog povjerenstva za urbanu komasaciju, donosi rješenje o okončanju postupka urbane komasacije kojim će odrediti nove čestice zemljišta, odrediti nositelje stvarnih prava na novoformiranim česticama te iznose naknada u novcu koje će se isplatiti sudionicima komasacije odnosno iznose naknada u novcu koje su sudionici komasacije obvezni uplatiti za razliku u površini zemljišta.</w:t>
      </w:r>
    </w:p>
    <w:p w14:paraId="47D3A8E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(8) Rješenje iz stavka 7. ovoga članka nakon pravomoćnosti dostavlja se nadležnom sudu i odjelu za katastar radi provedbe u zemljišnim i drugim javnim knjigama.</w:t>
      </w:r>
    </w:p>
    <w:p w14:paraId="1E04174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(9) Protiv rješenja iz stavaka 4. i 7. ovoga članka ne može se izjaviti žalba, ali se može pokrenuti upravni spor.</w:t>
      </w:r>
    </w:p>
    <w:p w14:paraId="1DFD41A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(10) Danom pravomoćnosti rješenja o okončanju postupka urbane komasacije sva založna prava koja su bila uspostavljena na nekretninama koje su ušle u komasacijsku masu prelaze na nekretnine koje u postupku komasacije stječe vlasnik nekretnina na kojima su prethodno postojala založna prava.</w:t>
      </w:r>
    </w:p>
    <w:p w14:paraId="17CC751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(11) Ako je na nekretnini koja je ušla u komasacijsku masu postojalo založno pravo, a vlasnik se namiruje isplatom u skladu s člankom 136. stavkom 6. ovoga Zakona, naknada će se isplatiti na temelju pisanog sporazuma sklopljenog između vlasnika nekretnine i nositelja založnog prava na toj nekretnini na kojem je potpise ovjerio javni bilježnik ili na temelju sudske odluke o uređenju imovinskih odnosa o tražbini nositelja založnog prava prema vlasniku.</w:t>
      </w:r>
    </w:p>
    <w:p w14:paraId="19B5C46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(12) Troškovi i naknade postupka urbane komasacije podmiruju se ponajprije iz komasacijskog fonda, a razliku snose stranke na čiji je zahtjev pokrenut postupak urbane komasacije.</w:t>
      </w:r>
    </w:p>
    <w:p w14:paraId="6D3BBE3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(13) Vrijednost predmeta u postupcima urbane komasacije je neprocjenjiva.</w:t>
      </w:r>
    </w:p>
    <w:p w14:paraId="27FC286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(14) Sadržaj zahtjeva za pokretanje urbane komasacije, način preraspodjele, uvjete, način provođenja te troškove postupka urbane komasacije i geodetskih radova, kao i sastav, rad i financiranje Stalnog državnog povjerenstva za urbanu komasaciju propisuje Vlada uredbom.</w:t>
      </w:r>
    </w:p>
    <w:p w14:paraId="1F9660A5" w14:textId="77777777" w:rsidR="00D2578D" w:rsidRDefault="00D2578D"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7C472054" w14:textId="77777777" w:rsidR="00D2578D" w:rsidRDefault="00D2578D"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33056710" w14:textId="77777777" w:rsidR="00D2578D" w:rsidRDefault="00D2578D"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153C1DE8" w14:textId="77777777" w:rsidR="00D2578D" w:rsidRDefault="00D2578D"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74323728" w14:textId="77777777" w:rsidR="00D2578D" w:rsidRDefault="00D2578D"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16B7D67B" w14:textId="77777777" w:rsidR="00D2578D" w:rsidRDefault="00D2578D"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3ABBC0F9" w14:textId="77777777" w:rsidR="00D2578D" w:rsidRDefault="00D2578D"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1E6838ED" w14:textId="77777777" w:rsidR="00D2578D" w:rsidRDefault="00D2578D"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0FA7DA82" w14:textId="0290730F" w:rsidR="007E17BF" w:rsidRPr="007E17BF" w:rsidRDefault="007E17BF" w:rsidP="00D2578D">
      <w:pPr>
        <w:pStyle w:val="Naslov3"/>
        <w:rPr>
          <w:lang w:eastAsia="hr-HR"/>
        </w:rPr>
      </w:pPr>
      <w:bookmarkStart w:id="21" w:name="_Toc219166938"/>
      <w:r w:rsidRPr="007E17BF">
        <w:rPr>
          <w:lang w:eastAsia="hr-HR"/>
        </w:rPr>
        <w:lastRenderedPageBreak/>
        <w:t>DIO SEDMI</w:t>
      </w:r>
      <w:r w:rsidR="00D2578D">
        <w:rPr>
          <w:lang w:eastAsia="hr-HR"/>
        </w:rPr>
        <w:t xml:space="preserve">   </w:t>
      </w:r>
      <w:r w:rsidRPr="007E17BF">
        <w:rPr>
          <w:lang w:eastAsia="hr-HR"/>
        </w:rPr>
        <w:t>PROVEDBA ZAHVATA U PROSTORU</w:t>
      </w:r>
      <w:bookmarkEnd w:id="21"/>
    </w:p>
    <w:p w14:paraId="357658D6" w14:textId="0A2AB0F6" w:rsidR="007E17BF" w:rsidRPr="007E17BF" w:rsidRDefault="007E17BF" w:rsidP="00D2578D">
      <w:pPr>
        <w:pStyle w:val="Naslov4"/>
        <w:rPr>
          <w:lang w:eastAsia="hr-HR"/>
        </w:rPr>
      </w:pPr>
      <w:bookmarkStart w:id="22" w:name="_Toc219166939"/>
      <w:r w:rsidRPr="007E17BF">
        <w:rPr>
          <w:lang w:eastAsia="hr-HR"/>
        </w:rPr>
        <w:t>GLAVA I.</w:t>
      </w:r>
      <w:r w:rsidR="00D2578D">
        <w:rPr>
          <w:lang w:eastAsia="hr-HR"/>
        </w:rPr>
        <w:t xml:space="preserve">   </w:t>
      </w:r>
      <w:r w:rsidRPr="007E17BF">
        <w:rPr>
          <w:lang w:eastAsia="hr-HR"/>
        </w:rPr>
        <w:t>ZAJEDNIČKE ODREDBE</w:t>
      </w:r>
      <w:bookmarkEnd w:id="22"/>
    </w:p>
    <w:p w14:paraId="183AD8A5"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Općenito</w:t>
      </w:r>
    </w:p>
    <w:p w14:paraId="2495EFA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139.</w:t>
      </w:r>
    </w:p>
    <w:p w14:paraId="2718D9D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Svaki zahvat u prostoru provodi se u skladu s dokumentima prostornog uređenja odnosno u skladu s aktom za provedbu zahvata u prostoru i posebnim propisima, ako ovim Zakonom ili propisima kojima se uređuje gradnja nije propisano drukčije.</w:t>
      </w:r>
    </w:p>
    <w:p w14:paraId="7F6957E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Akti za provedbu zahvata u prostoru su: urbanistički projekt, infrastrukturni projekt, lokacijska dozvola, dozvola za promjenu namjene i uporabu građevine, dozvola za uporabu zahvata u prostoru koji nisu građenje, rješenje o utvrđivanju građevne čestice, rješenje o utvrđivanju zemljišta nužnog za redovitu uporabu građevine, potvrda parcelacijskog elaborata, potvrda o usklađenosti zahvata u prostoru s prostorno-planskom dokumentacijom te građevinska dozvola izdana na temelju posebnog zakona kojoj ne prethodi postupak izdavanja lokacijske dozvole.</w:t>
      </w:r>
    </w:p>
    <w:p w14:paraId="075E3A7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Na svim prostorima kopnenog područja Republike Hrvatske na kojima za to ne postoje zapreke u prostornom planu može se provoditi zahvat istraživanja ugljikovodika i geotermalne vode.</w:t>
      </w:r>
    </w:p>
    <w:p w14:paraId="44F5E9A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Neovisno o uvjetima iz prostornog plana, energetske prijenosne, distribucijske i transportne sustave i elektroničku komunikacijsku infrastrukturu i drugu povezanu opremu moguće je graditi unutar građevnih čestica postojećih infrastrukturnih građevina i unutar svih koridora planirane ili izgrađene linijske infrastrukture sukladno tehničkim zahtjevima građevine i/ili u skladu s tehničkim rješenjem sustava odobrenim od strane operatora sustava.</w:t>
      </w:r>
    </w:p>
    <w:p w14:paraId="29129B1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Neovisno o uvjetima iz prostornog plana, u postojeće i planirane proizvodne građevine i elektrane/energane moguće je uvođenje i drugih goriva od onih koja su određena prostornim planom, a koja imaju manju emisiju CO2, te su ukupno manje štetna za okoliš u odnosu na goriva određena prostornim planom.</w:t>
      </w:r>
    </w:p>
    <w:p w14:paraId="49D59EB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Zahvati u prostoru za koje ne postoji obveza planiranja u prostornim planovima, a koji se ne smatraju građenjem prema pravilniku iz članka 154. stavka 2. ovoga Zakona, mogu se provoditi na prostorima na kojima za to ne postoje zapreke u prostornom planu i ako se njima ne ugrožava provedba prostorno-planskih rješenja.</w:t>
      </w:r>
    </w:p>
    <w:p w14:paraId="2337DED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Na područjima planiranim prostornim planom za proizvodna postrojenja iz obnovljivih izvora energije mogu se unutar obuhvata zahvata izgrađenih ili planiranih proizvodnih postrojenja, na njihovoj građevnoj čestici ili građevnoj čestici priključnog postrojenja, postavljati baterijska postrojenja za skladištenje vlastito proizvedene energije u istoj snazi elektrane.</w:t>
      </w:r>
    </w:p>
    <w:p w14:paraId="316D2664"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Odluka o koncesiji/dozvoli prema posebnom propisu</w:t>
      </w:r>
    </w:p>
    <w:p w14:paraId="436691F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140.</w:t>
      </w:r>
    </w:p>
    <w:p w14:paraId="50FA56B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Odluka o davanju koncesije koja obuhvaća provedbu zahvata u prostoru donosi se na temelju lokacijske dozvole, urbanističkog projekta ili infrastrukturnog projekta.</w:t>
      </w:r>
    </w:p>
    <w:p w14:paraId="2EDDAE3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Odluka o provedbi javnog nadmetanja za istraživanje i eksploataciju čvrstih mineralnih sirovina može se donijeti za prostore planirane prostornim planom u tu svrhu, uz prethodno mišljenje Ministarstva.</w:t>
      </w:r>
    </w:p>
    <w:p w14:paraId="0970E72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Odluka o provedbi javnog nadmetanja za istraživanje ugljikovodika i geotermalnih voda iz kojih se može koristiti akumulirana toplina u energetske svrhe može se donijeti za sve prostore na kojima ne postoje zapreke u prostornim planovima za obavljanje tih istraživanja, uz prethodno mišljenje Ministarstva.</w:t>
      </w:r>
    </w:p>
    <w:p w14:paraId="4B61342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Površine poljoprivredne namjene na kojima su planirani infrastrukturni koridori, eksploatacijska polja čvrstih mineralnih sirovina, energetske građevine za obnovljive izvore energije nije moguće davati u zakup za podizanje trajnih nasada.</w:t>
      </w:r>
    </w:p>
    <w:p w14:paraId="6B1A028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Površine na kojima je dana koncesija i površine poljoprivrednog zemljišta dane u zakup za podizanje trajnih nasada ne mogu biti predmet izmjena prostornih planova u razdoblju do tri godine prije isteka koncesije odnosno zakupa.</w:t>
      </w:r>
    </w:p>
    <w:p w14:paraId="5FE09AE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Prostorni planovi ili njihova izmjena odnosno dopuna koji su doneseni u razdoblju od tri godine prije isteka koncesije odnosno zakupa moraju sadržavati odredbe kojima se omogućava nužna rekonstrukcija i/ili uporaba tih površina sukladno postojećoj i planiranoj namjeni i stečenim pravima.</w:t>
      </w:r>
    </w:p>
    <w:p w14:paraId="46A3C5C5" w14:textId="77777777" w:rsid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Za površine za koje je dodijeljena koncesija ili koje su dane u zakup za podizanje trajnih nasada davatelj koncesije odnosno zakupodavac dužan je u informacijski sustav dostaviti prostorne podatke o obuhvatu koncesija i koncesijske ugovore kojima su ograničena određena prava raspolaganja.</w:t>
      </w:r>
    </w:p>
    <w:p w14:paraId="6A18E180" w14:textId="77777777" w:rsidR="00D2578D"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456C5FEB" w14:textId="77777777" w:rsidR="00D2578D"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041C83DA" w14:textId="77777777" w:rsidR="00D2578D"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3B872F75" w14:textId="77777777" w:rsidR="00D2578D"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1321E72C" w14:textId="77777777" w:rsidR="00D2578D" w:rsidRPr="007E17BF"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13E6EA57"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Nadležnost za izdavanje akata za provedbu zahvata u prostoru</w:t>
      </w:r>
    </w:p>
    <w:p w14:paraId="1CB8C1E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141.</w:t>
      </w:r>
    </w:p>
    <w:p w14:paraId="76F4956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Akte za provedbu zahvata u prostoru izdaje Ministarstvo te upravno tijelo.</w:t>
      </w:r>
    </w:p>
    <w:p w14:paraId="2013CD3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Rješenje o izmjeni i/ili dopuni akta za provedbu zahvata u prostoru donosi tijelo koje je nadležno za izdavanje akta za provedbu prema propisima koji su na snazi u trenutku podnošenja zahtjeva za izdavanje rješenja o izmjeni i/ili dopuni.</w:t>
      </w:r>
    </w:p>
    <w:p w14:paraId="32B446C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Iznimno od stavka 2. ovoga članka, rješenje o izmjeni i/ili dopuni akta za provedbu zahvata u prostoru za koji je na temelju članka 142. stavka 2. ovoga Zakona ustupljen predmet izdavanja akta za provedbu na rješavanje upravnom tijelu donosi upravno tijelo koje je donijelo akt za provedbu zahvata u prostoru.</w:t>
      </w:r>
    </w:p>
    <w:p w14:paraId="490C99B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U slučaju u kojem je nadležnost za izdavanje akta za provedbu iz stavka 1. ovoga članka povjerena sukladno zakonu kojim se uređuje lokalna i područna (regionalna) samouprava na jedinice lokalne samouprave, rješenje o izmjeni i/ili dopuni akta za provedbu iz stavka 1. ovoga članka donosi upravno tijelo jedinice lokalne samouprave kojoj je nadležnost povjerena.</w:t>
      </w:r>
    </w:p>
    <w:p w14:paraId="03729FC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Nadležnost Ministarstva</w:t>
      </w:r>
    </w:p>
    <w:p w14:paraId="5F68975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142.</w:t>
      </w:r>
    </w:p>
    <w:p w14:paraId="4A83D79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Ministarstvo izdaje akte za provedbu zahvata u prostoru:</w:t>
      </w:r>
    </w:p>
    <w:p w14:paraId="3EF207D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planiranih prostornim planom državne razine, osim zahvata u parku prirode koji nisu od državnog značaja</w:t>
      </w:r>
    </w:p>
    <w:p w14:paraId="6624342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određenih uredbom iz članka 79. stavka 2. ovoga Zakona kao građevine i drugi zahvati u prostoru od državnog značaja, kao i za zahvate za koje je tom uredbom određena nadležnost Ministarstva</w:t>
      </w:r>
    </w:p>
    <w:p w14:paraId="15F17C9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na području dvije ili više županija odnosno županije i Grada Zagreba.</w:t>
      </w:r>
    </w:p>
    <w:p w14:paraId="6C46283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 slučaju provedbe pojedinog zahvata u prostoru iz stavka 1. ovoga članka Ministarstvo može ustupiti predmet izdavanja akta za provedbu na rješavanje upravnom tijelu.</w:t>
      </w:r>
    </w:p>
    <w:p w14:paraId="5A82958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Nadležnost upravnog tijela županije, Grada Zagreba i velikoga grada</w:t>
      </w:r>
    </w:p>
    <w:p w14:paraId="5EAE850D"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143.</w:t>
      </w:r>
    </w:p>
    <w:p w14:paraId="683321F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Upravno tijelo županije izdaje na svojem području akte za provedbu zahvata u prostoru:</w:t>
      </w:r>
    </w:p>
    <w:p w14:paraId="0CAB875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planiranih prostornim planom parka prirode, osim zahvata u prostoru od državnog značaja</w:t>
      </w:r>
    </w:p>
    <w:p w14:paraId="2B747A7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planiranih prostornim planom područne (regionalne) razine</w:t>
      </w:r>
    </w:p>
    <w:p w14:paraId="2E8BCB6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planiranih prostornim planom lokalne razine izvan područja velikoga grada</w:t>
      </w:r>
    </w:p>
    <w:p w14:paraId="4406040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planiranih prostornim planovima lokalne razine na području velikoga grada i drugoga grada ili općine</w:t>
      </w:r>
    </w:p>
    <w:p w14:paraId="35D57EC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određenih uredbom iz članka 79. stavka 2. ovoga Zakona kao građevine i drugi zahvati u prostoru od područnog (regionalnog) značaja, kao i za zahvate za koje je tom uredbom određena nadležnost upravnog tijela županije.</w:t>
      </w:r>
    </w:p>
    <w:p w14:paraId="5A6E346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Upravno tijelo Grada Zagreba izdaje akte za provedbu zahvata u prostoru planiranih prostornim planom parka prirode, osim zahvata u prostoru od državnog značaja, prostornim planom Grada Zagreba i prostornim planom lokalne razine na svojem području određenih uredbom iz članka 79. stavka 2. ovoga Zakona kao građevine i drugi zahvati u prostoru od područnog (regionalnog) značaja, kao i za zahvate za koje je tom uredbom određena nadležnost upravnog tijela Grada Zagreba.</w:t>
      </w:r>
    </w:p>
    <w:p w14:paraId="50DDE4A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Upravno tijelo velikoga grada izdaje akte za provedbu zahvata u prostoru planiranih prostornim planom lokalne razine na svojem području, ako ovim Zakonom nije propisano drukčije.</w:t>
      </w:r>
    </w:p>
    <w:p w14:paraId="6B9AD20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Pravni lijekovi</w:t>
      </w:r>
    </w:p>
    <w:p w14:paraId="2D79640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144.</w:t>
      </w:r>
    </w:p>
    <w:p w14:paraId="24FF9E5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Protiv rješenja kojim se odlučuje o zahvatu u prostoru, a koje donosi upravno tijelo, može se izjaviti žalba o kojoj odlučuje Ministarstvo.</w:t>
      </w:r>
    </w:p>
    <w:p w14:paraId="7D6A26C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Protiv odluke Ministarstva o žalbi iz stavka 1. ovoga članka može se pokrenuti upravni spor.</w:t>
      </w:r>
    </w:p>
    <w:p w14:paraId="6C5D87F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Protiv rješenja kojim se odlučuje o zahvatu u prostoru, a koje donosi Ministarstvo, ne može se izjaviti žalba, ali se može pokrenuti upravni spor.</w:t>
      </w:r>
    </w:p>
    <w:p w14:paraId="5B35DE14"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Postupanje po žalbi</w:t>
      </w:r>
    </w:p>
    <w:p w14:paraId="3C958CE4"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145.</w:t>
      </w:r>
    </w:p>
    <w:p w14:paraId="504AE8A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Ako Ministarstvo povodom žalbe poništi rješenje kojim se odlučuje o zahvatu u prostoru i vrati predmet na ponovni postupak, upravno tijelo dužno je u svemu postupiti po rješenju Ministarstva.</w:t>
      </w:r>
    </w:p>
    <w:p w14:paraId="64CD63F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(2) </w:t>
      </w:r>
      <w:proofErr w:type="spellStart"/>
      <w:r w:rsidRPr="007E17BF">
        <w:rPr>
          <w:rFonts w:ascii="Times New Roman" w:eastAsia="Times New Roman" w:hAnsi="Times New Roman"/>
          <w:color w:val="231F20"/>
          <w:sz w:val="20"/>
          <w:szCs w:val="20"/>
          <w:lang w:eastAsia="hr-HR"/>
        </w:rPr>
        <w:t>Nepostupanje</w:t>
      </w:r>
      <w:proofErr w:type="spellEnd"/>
      <w:r w:rsidRPr="007E17BF">
        <w:rPr>
          <w:rFonts w:ascii="Times New Roman" w:eastAsia="Times New Roman" w:hAnsi="Times New Roman"/>
          <w:color w:val="231F20"/>
          <w:sz w:val="20"/>
          <w:szCs w:val="20"/>
          <w:lang w:eastAsia="hr-HR"/>
        </w:rPr>
        <w:t xml:space="preserve"> po rješenju iz stavka 1. ovoga članka zbog neopravdanog razloga je teška povreda službene dužnosti službene osobe ovlaštene za donošenje rješenja iz stavka 1. ovoga članka u skladu sa Zakonom o službenicima i namještenicima u lokalnoj i područnoj (regionalnoj) samoupravi.</w:t>
      </w:r>
    </w:p>
    <w:p w14:paraId="3680747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(3) </w:t>
      </w:r>
      <w:proofErr w:type="spellStart"/>
      <w:r w:rsidRPr="007E17BF">
        <w:rPr>
          <w:rFonts w:ascii="Times New Roman" w:eastAsia="Times New Roman" w:hAnsi="Times New Roman"/>
          <w:color w:val="231F20"/>
          <w:sz w:val="20"/>
          <w:szCs w:val="20"/>
          <w:lang w:eastAsia="hr-HR"/>
        </w:rPr>
        <w:t>Nepostupanje</w:t>
      </w:r>
      <w:proofErr w:type="spellEnd"/>
      <w:r w:rsidRPr="007E17BF">
        <w:rPr>
          <w:rFonts w:ascii="Times New Roman" w:eastAsia="Times New Roman" w:hAnsi="Times New Roman"/>
          <w:color w:val="231F20"/>
          <w:sz w:val="20"/>
          <w:szCs w:val="20"/>
          <w:lang w:eastAsia="hr-HR"/>
        </w:rPr>
        <w:t xml:space="preserve"> po rješenju Ministarstva kojim je povodom žalbe zbog nerješavanja zahtjeva u roku određen novi rok za donošenje rješenja predstavlja tešku povredu službene dužnosti čelnika upravnog tijela u skladu sa Zakonom o službenicima i namještenicima u lokalnoj i područnoj (regionalnoj) samoupravi.</w:t>
      </w:r>
    </w:p>
    <w:p w14:paraId="78FFBCA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Prisila na postupanje</w:t>
      </w:r>
    </w:p>
    <w:p w14:paraId="05F48BC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146.</w:t>
      </w:r>
    </w:p>
    <w:p w14:paraId="11A37E7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Ako upravno tijelo ne postupi po rješenju iz članka 145. stavaka 1. i 3. ovoga Zakona, na postupanje će ga se prisiliti novčanom kaznom koja se izriče jedinici lokalne odnosno područne (regionalne) samouprave čije je to upravno tijelo.</w:t>
      </w:r>
    </w:p>
    <w:p w14:paraId="4836F93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Povreda službene dužnosti i dužnosti ovlaštenog arhitekta i ovlaštenog inženjera</w:t>
      </w:r>
    </w:p>
    <w:p w14:paraId="00037AF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147.</w:t>
      </w:r>
    </w:p>
    <w:p w14:paraId="209204B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Izrada idejnog projekta očito protivna uvjetima za provedbu zahvata u prostoru propisanim prostornim planom u pogledu namjene i veličine građevine ili oblika i veličine građevne čestice ili smještaja građevine na građevnoj čestici je teška povreda dužnosti i ugleda ovlaštenog arhitekta odnosno inženjera koji je u svojstvu projektanta izradio idejni projekt.</w:t>
      </w:r>
    </w:p>
    <w:p w14:paraId="1CCCB5C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Zahtjev za pokretanje postupka zbog povrede dužnosti i ugleda iz stavka 1. ovoga članka podnosi se nakon što su činjenice iz navedenih stavaka utvrđene rješenjem donesenim povodom žalbe odnosno tužbe.</w:t>
      </w:r>
    </w:p>
    <w:p w14:paraId="74668944"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Primjena propisa u postupku izdavanja akta za provedbu zahvata u prostoru</w:t>
      </w:r>
    </w:p>
    <w:p w14:paraId="1CACE277"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148.</w:t>
      </w:r>
    </w:p>
    <w:p w14:paraId="2F78A88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Akt za provedbu zahvata u prostoru izdaje se u skladu s ovim Zakonom, prostornim planom i posebnim propisima, ako ovim Zakonom nije propisano drukčije.</w:t>
      </w:r>
    </w:p>
    <w:p w14:paraId="42E7015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 slučaju neusklađenosti odredbe prostornog plana s odredbom ovoga Zakona, prilikom izdavanja akta za provedbu zahvata u prostoru primjenjuje se odredba ovoga Zakona.</w:t>
      </w:r>
    </w:p>
    <w:p w14:paraId="332B317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U slučaju neusklađenosti odredbe prostornog plana s odredbom propisa donesenog na temelju ovoga Zakona, prilikom izdavanja akta za provedbu zahvata u prostoru primjenjuje se odredba propisa donesenog na temelju ovoga Zakona.</w:t>
      </w:r>
    </w:p>
    <w:p w14:paraId="1B1540F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U slučaju očite neusklađenosti grafičkog dijela i tekstualnih odredbi prostornog plana, primjenjuju se tekstualne odredbe.</w:t>
      </w:r>
    </w:p>
    <w:p w14:paraId="1969964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Akt za provedbu zahvata u prostoru izdaje se u skladu s prostornim planom koji važi na dan podnošenja zahtjeva za njegovo izdavanje odnosno ako to podnositelj zahtjeva zatraži, u skladu s prostornim planom koji važi na dan izdavanja akta za provedbu zahvata u prostoru.</w:t>
      </w:r>
    </w:p>
    <w:p w14:paraId="02B5E54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Iznimno od stavka 1. ovoga članka, omogućava se dogradnja vanjskog dizala na postojeću zgradu neovisno o odredbama prostornog plana.</w:t>
      </w:r>
    </w:p>
    <w:p w14:paraId="172987F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(7) Akt za provedbu zahvata u prostoru za građevinu sunčane elektrane, </w:t>
      </w:r>
      <w:proofErr w:type="spellStart"/>
      <w:r w:rsidRPr="007E17BF">
        <w:rPr>
          <w:rFonts w:ascii="Times New Roman" w:eastAsia="Times New Roman" w:hAnsi="Times New Roman"/>
          <w:color w:val="231F20"/>
          <w:sz w:val="20"/>
          <w:szCs w:val="20"/>
          <w:lang w:eastAsia="hr-HR"/>
        </w:rPr>
        <w:t>agrosunčane</w:t>
      </w:r>
      <w:proofErr w:type="spellEnd"/>
      <w:r w:rsidRPr="007E17BF">
        <w:rPr>
          <w:rFonts w:ascii="Times New Roman" w:eastAsia="Times New Roman" w:hAnsi="Times New Roman"/>
          <w:color w:val="231F20"/>
          <w:sz w:val="20"/>
          <w:szCs w:val="20"/>
          <w:lang w:eastAsia="hr-HR"/>
        </w:rPr>
        <w:t xml:space="preserve"> elektrane te geotermalne bušotine i s njima povezane objekte i postrojenja, za poljoprivredne i industrijske svrhe izdaje se u skladu sa stavkom 1. ovoga članka i na površinama određenim člankom 19. stavkom 1. podstavcima 41., 42. i 43. ovoga Zakona.</w:t>
      </w:r>
    </w:p>
    <w:p w14:paraId="2F52114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(8) Akt za provedbu zahvata u prostoru za građevine </w:t>
      </w:r>
      <w:proofErr w:type="spellStart"/>
      <w:r w:rsidRPr="007E17BF">
        <w:rPr>
          <w:rFonts w:ascii="Times New Roman" w:eastAsia="Times New Roman" w:hAnsi="Times New Roman"/>
          <w:color w:val="231F20"/>
          <w:sz w:val="20"/>
          <w:szCs w:val="20"/>
          <w:lang w:eastAsia="hr-HR"/>
        </w:rPr>
        <w:t>priuštivog</w:t>
      </w:r>
      <w:proofErr w:type="spellEnd"/>
      <w:r w:rsidRPr="007E17BF">
        <w:rPr>
          <w:rFonts w:ascii="Times New Roman" w:eastAsia="Times New Roman" w:hAnsi="Times New Roman"/>
          <w:color w:val="231F20"/>
          <w:sz w:val="20"/>
          <w:szCs w:val="20"/>
          <w:lang w:eastAsia="hr-HR"/>
        </w:rPr>
        <w:t xml:space="preserve"> stanovanja izdaje se na površinama određenim člankom 49. i 50. ovoga Zakona.</w:t>
      </w:r>
    </w:p>
    <w:p w14:paraId="7A6CEB7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(9) Akt za provedbu zahvata u prostoru za građevine Ministarstva obrane, Ministarstva unutarnjih poslova i Hrvatske narodne banke izdaje se na površinama određenim člankom 19. stavkom 1. podstavkom 46. ovoga Zakona.</w:t>
      </w:r>
    </w:p>
    <w:p w14:paraId="3F93046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Potvrda o usklađenosti zahvata u prostoru s prostorno-planskom dokumentacijom</w:t>
      </w:r>
    </w:p>
    <w:p w14:paraId="061DF111"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149.</w:t>
      </w:r>
    </w:p>
    <w:p w14:paraId="45B5CB6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Upravno tijelo odnosno Ministarstvo izdaje potvrdu o usklađenosti zahvata u prostoru s prostorno-planskom dokumentacijom na zahtjev zainteresirane stranke, ako je to propisano propisom kojim se uređuje zaštita okoliša.</w:t>
      </w:r>
    </w:p>
    <w:p w14:paraId="6A48168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Zahtjevu za izdavanje potvrde iz stavka 1. ovoga članka prilaže se elaborat o usklađenosti zahvata s prostornim planom.</w:t>
      </w:r>
    </w:p>
    <w:p w14:paraId="6A957ED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Potvrda iz stavka 1. ovoga članka izdaje se prema pravilima o izdavanju potvrda o činjenicama o kojima se ne vodi službena evidencija sukladno propisu kojim se uređuje opći upravni postupak. Ako zahvat u prostoru nije u skladu s prostornim planom, zahtjev za izdavanje potvrde odbija se rješenjem.</w:t>
      </w:r>
    </w:p>
    <w:p w14:paraId="04305F6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Protiv rješenja iz stavka 3. ovoga članka, a koje donosi upravno tijelo, može se izjaviti žalba o kojoj odlučuje Ministarstvo.</w:t>
      </w:r>
    </w:p>
    <w:p w14:paraId="4EC946C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Protiv rješenja iz stavka 3. ovoga članka, a koje donosi Ministarstvo, ne može se izjaviti žalba, ali se može pokrenuti upravni spor.</w:t>
      </w:r>
    </w:p>
    <w:p w14:paraId="1AAC9E3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Sadržaj dokumentacije koji se prilaže zahtjevu iz stavka 2. ovoga članka propisuje ministar pravilnikom iz članka 164. ovoga Zakona.</w:t>
      </w:r>
    </w:p>
    <w:p w14:paraId="6B3DF1ED" w14:textId="32F94F39"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Mišljenje o usklađenosti zahvata u prostoru</w:t>
      </w:r>
      <w:r w:rsidR="00D2578D">
        <w:rPr>
          <w:rFonts w:ascii="Times New Roman" w:eastAsia="Times New Roman" w:hAnsi="Times New Roman"/>
          <w:color w:val="231F20"/>
          <w:sz w:val="20"/>
          <w:szCs w:val="20"/>
          <w:lang w:eastAsia="hr-HR"/>
        </w:rPr>
        <w:t xml:space="preserve"> </w:t>
      </w:r>
      <w:r w:rsidRPr="007E17BF">
        <w:rPr>
          <w:rFonts w:ascii="Times New Roman" w:eastAsia="Times New Roman" w:hAnsi="Times New Roman"/>
          <w:color w:val="231F20"/>
          <w:sz w:val="20"/>
          <w:szCs w:val="20"/>
          <w:lang w:eastAsia="hr-HR"/>
        </w:rPr>
        <w:t>s prostorno-planskom dokumentacijom</w:t>
      </w:r>
    </w:p>
    <w:p w14:paraId="4277046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150.</w:t>
      </w:r>
    </w:p>
    <w:p w14:paraId="6AF11EF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(1) Ako je to propisano propisom kojim se uređuje rudarstvo, istraživanje i eksploatacija ugljikovodika i geotermalnih voda, Ministarstvo izdaje mišljenje o usklađenosti zahvata u prostoru s prostorno-planskom dokumentacijom na zahtjev ministarstva nadležnog za rudarstvo, te mišljenje o nepostojanju zapreka u prostornom planu za zahvat istraživanja </w:t>
      </w:r>
      <w:r w:rsidRPr="007E17BF">
        <w:rPr>
          <w:rFonts w:ascii="Times New Roman" w:eastAsia="Times New Roman" w:hAnsi="Times New Roman"/>
          <w:color w:val="231F20"/>
          <w:sz w:val="20"/>
          <w:szCs w:val="20"/>
          <w:lang w:eastAsia="hr-HR"/>
        </w:rPr>
        <w:lastRenderedPageBreak/>
        <w:t>ugljikovodika i geotermalnih voda na zahtjev tijela nadležnog za istraživanje i eksploataciju ugljikovodika i geotermalnih voda.</w:t>
      </w:r>
    </w:p>
    <w:p w14:paraId="3F3DB60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Zahtjevu za izdavanje mišljenja iz stavka 1. ovoga članka prilaže se opis i grafički prikaz namjeravanog zahvata na temelju kojeg se analizira usklađenost zahvata s prostornim planom.</w:t>
      </w:r>
    </w:p>
    <w:p w14:paraId="3D7C414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Mišljenje iz stavka 1. ovoga članka izdaje se prema pravilima o izdavanju potvrda o činjenicama o kojima se ne vodi službena evidencija sukladno propisu kojim se uređuje opći upravni postupak.</w:t>
      </w:r>
    </w:p>
    <w:p w14:paraId="62E0C60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Ako zahvat u prostoru nije u skladu s prostornim planom odnosno ako postoje zapreke u prostornom planu u pogledu mogućeg smještaja naftno-rudarskih građevina i postrojenja, zahtjev za izdavanje mišljenja odbija se rješenjem.</w:t>
      </w:r>
    </w:p>
    <w:p w14:paraId="641A3C88" w14:textId="77777777" w:rsid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Protiv rješenja iz stavka 4. ovoga članka ne može se izjaviti žalba, ali se može pokrenuti upravni spor.</w:t>
      </w:r>
    </w:p>
    <w:p w14:paraId="57C9E593" w14:textId="77777777" w:rsidR="00D2578D" w:rsidRPr="007E17BF"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5D911182" w14:textId="4B4F5151" w:rsidR="007E17BF" w:rsidRPr="007E17BF" w:rsidRDefault="007E17BF" w:rsidP="00D2578D">
      <w:pPr>
        <w:pStyle w:val="Naslov4"/>
        <w:rPr>
          <w:lang w:eastAsia="hr-HR"/>
        </w:rPr>
      </w:pPr>
      <w:bookmarkStart w:id="23" w:name="_Toc219166940"/>
      <w:r w:rsidRPr="007E17BF">
        <w:rPr>
          <w:lang w:eastAsia="hr-HR"/>
        </w:rPr>
        <w:t>GLAVA II.</w:t>
      </w:r>
      <w:r w:rsidR="00D2578D">
        <w:rPr>
          <w:lang w:eastAsia="hr-HR"/>
        </w:rPr>
        <w:t xml:space="preserve">   </w:t>
      </w:r>
      <w:r w:rsidRPr="007E17BF">
        <w:rPr>
          <w:lang w:eastAsia="hr-HR"/>
        </w:rPr>
        <w:t>URBANISTIČKI I INFRASTRUKTURNI PROJEKT</w:t>
      </w:r>
      <w:bookmarkEnd w:id="23"/>
    </w:p>
    <w:p w14:paraId="21599BD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Općenito</w:t>
      </w:r>
    </w:p>
    <w:p w14:paraId="05BC6B5D"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151.</w:t>
      </w:r>
    </w:p>
    <w:p w14:paraId="286F839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Za zahvat u prostoru koji se provodi kao urbanistički projekt ili infrastrukturni projekt u koordiniranom postupku provode se postupci iz područja zaštite okoliša i prirode, prostornog uređenja i izdavanja lokacijske dozvole.</w:t>
      </w:r>
    </w:p>
    <w:p w14:paraId="5918D3A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Urbanistički projekt može se donijeti za sljedeće zahvate u prostoru:</w:t>
      </w:r>
    </w:p>
    <w:p w14:paraId="287DBC8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1. sklop dviju ili više zgrada </w:t>
      </w:r>
      <w:proofErr w:type="spellStart"/>
      <w:r w:rsidRPr="007E17BF">
        <w:rPr>
          <w:rFonts w:ascii="Times New Roman" w:eastAsia="Times New Roman" w:hAnsi="Times New Roman"/>
          <w:color w:val="231F20"/>
          <w:sz w:val="20"/>
          <w:szCs w:val="20"/>
          <w:lang w:eastAsia="hr-HR"/>
        </w:rPr>
        <w:t>priuštivog</w:t>
      </w:r>
      <w:proofErr w:type="spellEnd"/>
      <w:r w:rsidRPr="007E17BF">
        <w:rPr>
          <w:rFonts w:ascii="Times New Roman" w:eastAsia="Times New Roman" w:hAnsi="Times New Roman"/>
          <w:color w:val="231F20"/>
          <w:sz w:val="20"/>
          <w:szCs w:val="20"/>
          <w:lang w:eastAsia="hr-HR"/>
        </w:rPr>
        <w:t xml:space="preserve"> stanovanja javnog investitora uključivo njihove prateće sadržaje</w:t>
      </w:r>
    </w:p>
    <w:p w14:paraId="7AB5C28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društvene i sportsko-rekreacijske namjene kao što su bolnice, zgrade tijela državne uprave, škole, vrtići, sportske i višenamjenske dvorane javnog investitora</w:t>
      </w:r>
    </w:p>
    <w:p w14:paraId="29F5C10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na područjima na kojima se planira provesti urbana komasacija prema području obuhvata urbanističkog plana uređenja, a kojim nisu utvrđene građevne čestice.</w:t>
      </w:r>
    </w:p>
    <w:p w14:paraId="53FB756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(3) Infrastrukturni projekt može se donijeti za građevine od državnog značaja: cestovne, željezničke, </w:t>
      </w:r>
      <w:proofErr w:type="spellStart"/>
      <w:r w:rsidRPr="007E17BF">
        <w:rPr>
          <w:rFonts w:ascii="Times New Roman" w:eastAsia="Times New Roman" w:hAnsi="Times New Roman"/>
          <w:color w:val="231F20"/>
          <w:sz w:val="20"/>
          <w:szCs w:val="20"/>
          <w:lang w:eastAsia="hr-HR"/>
        </w:rPr>
        <w:t>vodnogospodarske</w:t>
      </w:r>
      <w:proofErr w:type="spellEnd"/>
      <w:r w:rsidRPr="007E17BF">
        <w:rPr>
          <w:rFonts w:ascii="Times New Roman" w:eastAsia="Times New Roman" w:hAnsi="Times New Roman"/>
          <w:color w:val="231F20"/>
          <w:sz w:val="20"/>
          <w:szCs w:val="20"/>
          <w:lang w:eastAsia="hr-HR"/>
        </w:rPr>
        <w:t>, energetske (osim proizvodnih) i elektroničke komunikacijske infrastrukture te za građevine obrambene pripravnosti.</w:t>
      </w:r>
    </w:p>
    <w:p w14:paraId="70D4937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Sadržaj potrebne dokumentacije, ovlaštene osobe za izrađivanje dokumentacije te način i kriterije izrade i donošenja urbanističkog i infrastrukturnog projekta propisuje Vlada uredbom.</w:t>
      </w:r>
    </w:p>
    <w:p w14:paraId="26291C6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Uredbom iz stavka 4. ovog članka odredit će se urbanistički projekti od državnog, područnog (regionalnog) i lokalnog značaja.</w:t>
      </w:r>
    </w:p>
    <w:p w14:paraId="1233B134"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Urbanistički projekt</w:t>
      </w:r>
    </w:p>
    <w:p w14:paraId="6421CF3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152.</w:t>
      </w:r>
    </w:p>
    <w:p w14:paraId="0016403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Vlada odnosno predstavničko tijelo jedinice lokalne odnosno područne (regionalne) samouprave donosi odluku o izradi urbanističkog projekta od državnog, područnog (regionalnog) ili lokalnog značaja, na temelju programa urbanističkog projekta.</w:t>
      </w:r>
    </w:p>
    <w:p w14:paraId="70AAB81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Po donošenju odluke iz stavka 1. ovoga članka podnosi se zahtjev za pokretanje postupka izrade i donošenja urbanističkog projekta Ministarstvu ili jedinici lokalne, područne (regionalne) samouprave.</w:t>
      </w:r>
    </w:p>
    <w:p w14:paraId="60659EC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Uz zahtjev se prilaže prijedlog urbanističkog projekta koji sadrži i analizu odnosa zahvata s okolnim površinama i građevinama što uključuje prostorno-planska ograničenja te postojeće stanje izgrađenosti.</w:t>
      </w:r>
    </w:p>
    <w:p w14:paraId="35891DF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Ministarstvo ili jedinica lokalne odnosno područne (regionalne) samouprave donosi odluku o prihvatljivosti urbanističkog projekta s obzirom na prostorno-planska ograničenja.</w:t>
      </w:r>
    </w:p>
    <w:p w14:paraId="684F9F9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Ako je za odluku o prihvatljivosti iz stavka 4. ovoga članka potrebno provesti postupke iz područja zaštite okoliša i prirode, oni se provode u koordiniranom postupku koji će se definirati uredbom iz članka 151. stavka 4. ovoga Zakona.</w:t>
      </w:r>
    </w:p>
    <w:p w14:paraId="51AA3E4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Urbanistički projekt dostavlja se na uvid putem elektroničkog programa javnopravnim tijelima koja su se dužna na njega očitovati u roku od 15 dana od dostave.</w:t>
      </w:r>
    </w:p>
    <w:p w14:paraId="0B24A64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O urbanističkom projektu provodi se javna rasprava i osigurava sudjelovanje javnosti u trajanju od minimalno 30 dana nakon koje se izrađuje izvješće o javnoj raspravi.</w:t>
      </w:r>
    </w:p>
    <w:p w14:paraId="180CB6C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(8) Ministarstvo ili jedinica lokalne odnosno područne (regionalne) samouprave izdaje suglasnost na konačni prijedlog urbanističkog projekta.</w:t>
      </w:r>
    </w:p>
    <w:p w14:paraId="3ACC01B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(9) Ministarstvo nadležno za područje zaštite okoliša i prirode odnosno nadležno upravno tijelo iz područja zaštite okoliša i prirode dužno je donijeti odgovarajući akt sukladno rokovima određenim propisom iz područja zaštite okoliša i prirode.</w:t>
      </w:r>
    </w:p>
    <w:p w14:paraId="3F6A05F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(10) Vlada odnosno predstavničko tijelo jedinice lokalne odnosno područne (regionalne) samouprave donosi odluku o prihvatljivosti predloženog urbanističkog projekta, koji se nakon toga objavljuje u »Narodnim novinama« odnosno službenom glasilu jedinice lokalne odnosno područne (regionalne) samouprave, a po objavi se integrira u prostorni plan predmetnog područja.</w:t>
      </w:r>
    </w:p>
    <w:p w14:paraId="6173E20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(11) Najkasnije u roku od šest godina od objave u »Narodnim novinama« urbanističkog projekta od državnog značaja, odnosno najkasnije u roku od četiri godine od objave u službenom glasilu jedinice lokalne odnosno područne (regionalne) samouprave urbanističkog projekta od područnog (regionalnog) ili lokalnog značaja, potrebno je podnijeti zahtjev za izdavanje građevinske dozvole, u protivnom urbanistički projekt prestaje važiti.</w:t>
      </w:r>
    </w:p>
    <w:p w14:paraId="35B3AFD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(12) Odluka o prihvatljivosti urbanističkog projekta iz stavka 11. ovoga članka smatra se lokacijskom dozvolom u smislu odredaba ovoga Zakona.</w:t>
      </w:r>
    </w:p>
    <w:p w14:paraId="496E9264"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Infrastrukturni projekt</w:t>
      </w:r>
    </w:p>
    <w:p w14:paraId="31F2EFC1"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153.</w:t>
      </w:r>
    </w:p>
    <w:p w14:paraId="4FE4886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Vlada donosi odluku o izradi infrastrukturnog projekta od državnog značaja, na temelju programa infrastrukturnog projekta koji je izradio javni investitor.</w:t>
      </w:r>
    </w:p>
    <w:p w14:paraId="0D5156E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Po donošenju odluke iz stavka 1. ovoga članka javni investitor podnosi zahtjev za pokretanje postupka izrade i donošenja infrastrukturnog projekta Ministarstvu.</w:t>
      </w:r>
    </w:p>
    <w:p w14:paraId="047F5E9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Uz zahtjev se prilaže prijedlog državnog infrastrukturnog projekta koji sadrži i analizu odnosa zahvata s okolnim površinama i građevinama (prostorno-planska ograničenja, postojeće stanje izgrađenosti, studija izvedivosti).</w:t>
      </w:r>
    </w:p>
    <w:p w14:paraId="255D9B8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Ministarstvo donosi odluku o prihvatljivosti državnog infrastrukturnog projekta s obzirom na prostorno-planska ograničenja.</w:t>
      </w:r>
    </w:p>
    <w:p w14:paraId="13256D5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Nakon donošenja odluke iz stavka 4. ovoga članka, u koordiniranom postupku provode se postupci iz područja zaštite okoliša i prirode.</w:t>
      </w:r>
    </w:p>
    <w:p w14:paraId="1DE0FC9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Državni infrastrukturni projekt dostavlja se na uvid javnopravnim tijelima putem elektroničkog programa, koja su dužna očitovati se na projekt u roku od 30 dana od dostave.</w:t>
      </w:r>
    </w:p>
    <w:p w14:paraId="5B4655F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Provodi se javna rasprava i osigurava sudjelovanje javnosti od minimalno 30 dana. Nakon provedene javne rasprave izrađuje se izvješće o javnoj raspravi.</w:t>
      </w:r>
    </w:p>
    <w:p w14:paraId="345BBD6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(8) Ministarstvo izdaje suglasnost na konačni prijedlog državnog infrastrukturnog projekta.</w:t>
      </w:r>
    </w:p>
    <w:p w14:paraId="3E7E748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(9) Ministarstvo nadležno za područje zaštite okoliša i prirode dužno je donijeti rješenje o prihvatljivosti zahvata za okoliš sukladno rokovima određenim propisom iz područja zaštite okoliša i prirode.</w:t>
      </w:r>
    </w:p>
    <w:p w14:paraId="144A5EC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(10) Vlada donosi odluku o prihvatljivosti predloženog državnog infrastrukturnog projekta, koji se nakon toga objavljuje u »Narodnim novinama«.</w:t>
      </w:r>
    </w:p>
    <w:p w14:paraId="0421CC9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(11) Po objavi u »Narodnim novinama« državni infrastrukturni projekt integrira se u Državni plan prostornog razvoja.</w:t>
      </w:r>
    </w:p>
    <w:p w14:paraId="1FB1578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(12) Zahtjev za izdavanje građevinske dozvole na temelju državnog infrastrukturnog projekta podnosi se najkasnije u roku od šest godina od njegove objave u »Narodnim novinama«, u protivnom državni infrastrukturni projekt prestaje važiti.</w:t>
      </w:r>
    </w:p>
    <w:p w14:paraId="7176A343" w14:textId="77777777" w:rsid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(13) Odluka o prihvatljivosti infrastrukturnog projekta iz stavka 10. ovoga članka smatra se lokacijskom dozvolom u smislu odredaba ovoga Zakona.</w:t>
      </w:r>
    </w:p>
    <w:p w14:paraId="1CFAE703" w14:textId="77777777" w:rsidR="00D2578D" w:rsidRPr="007E17BF"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6F623267" w14:textId="073983AF" w:rsidR="007E17BF" w:rsidRPr="007E17BF" w:rsidRDefault="007E17BF" w:rsidP="00D2578D">
      <w:pPr>
        <w:pStyle w:val="Naslov4"/>
        <w:rPr>
          <w:lang w:eastAsia="hr-HR"/>
        </w:rPr>
      </w:pPr>
      <w:bookmarkStart w:id="24" w:name="_Toc219166941"/>
      <w:r w:rsidRPr="007E17BF">
        <w:rPr>
          <w:lang w:eastAsia="hr-HR"/>
        </w:rPr>
        <w:t>GLAVA III.</w:t>
      </w:r>
      <w:r w:rsidR="00D2578D">
        <w:rPr>
          <w:lang w:eastAsia="hr-HR"/>
        </w:rPr>
        <w:t xml:space="preserve">   </w:t>
      </w:r>
      <w:r w:rsidRPr="007E17BF">
        <w:rPr>
          <w:lang w:eastAsia="hr-HR"/>
        </w:rPr>
        <w:t>LOKACIJSKA DOZVOLA</w:t>
      </w:r>
      <w:bookmarkEnd w:id="24"/>
    </w:p>
    <w:p w14:paraId="25349D5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Zahvati u prostoru za koje se izdaje lokacijska dozvola</w:t>
      </w:r>
    </w:p>
    <w:p w14:paraId="6E85F40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154.</w:t>
      </w:r>
    </w:p>
    <w:p w14:paraId="23F01C1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Lokacijska dozvola izdaje se za:</w:t>
      </w:r>
    </w:p>
    <w:p w14:paraId="4D7387B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eksploatacijsko polje </w:t>
      </w:r>
      <w:r w:rsidRPr="007E17BF">
        <w:rPr>
          <w:rFonts w:ascii="Times New Roman" w:eastAsia="Times New Roman" w:hAnsi="Times New Roman"/>
          <w:color w:val="231F20"/>
          <w:sz w:val="20"/>
          <w:szCs w:val="20"/>
          <w:bdr w:val="none" w:sz="0" w:space="0" w:color="auto" w:frame="1"/>
          <w:lang w:eastAsia="hr-HR"/>
        </w:rPr>
        <w:t>čvrstih </w:t>
      </w:r>
      <w:r w:rsidRPr="007E17BF">
        <w:rPr>
          <w:rFonts w:ascii="Times New Roman" w:eastAsia="Times New Roman" w:hAnsi="Times New Roman"/>
          <w:color w:val="231F20"/>
          <w:sz w:val="20"/>
          <w:szCs w:val="20"/>
          <w:lang w:eastAsia="hr-HR"/>
        </w:rPr>
        <w:t>mineralnih sirovina, građenje rudarskih objekata i postrojenja koji su u funkciji izvođenja rudarskih radova</w:t>
      </w:r>
    </w:p>
    <w:p w14:paraId="642B132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sanaciju neaktivnih eksploatacijskih polja mineralnih sirovina (npr. trajnim odlaganjem otpada i sl.), osim osnovne tehničke sanacije u cilju provedbe mjere osiguranja radi sprječavanja nastanka opasnosti za ljude, imovinu, prirodu i okoliš</w:t>
      </w:r>
    </w:p>
    <w:p w14:paraId="638AD9E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naftno-rudarske objekte i postrojenja za istraživanje i eksploataciju ugljikovodika, geotermalne vode za energetske svrhe, podzemno skladištenje plina i trajno zbrinjavanje ugljikova dioksida u geološkim strukturama na istražnom prostoru odnosno eksploatacijskom polju određenom na temelju posebnog zakona kojim se uređuje istraživanje i eksploatacija ugljikovodika i geotermalnih voda</w:t>
      </w:r>
    </w:p>
    <w:p w14:paraId="60D6036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određivanje novih vojnih lokacija i vojnih građevina</w:t>
      </w:r>
    </w:p>
    <w:p w14:paraId="0D4D5EC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zahvate u prostoru koji su određeni pravilnikom o zahvatima u prostoru koji se ne smatraju građenjem</w:t>
      </w:r>
    </w:p>
    <w:p w14:paraId="6C39183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etapno i/ili fazno građenje građevine</w:t>
      </w:r>
    </w:p>
    <w:p w14:paraId="656394E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složene investicijske zahvate</w:t>
      </w:r>
    </w:p>
    <w:p w14:paraId="385368E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8. složene zahvate u prostoru</w:t>
      </w:r>
    </w:p>
    <w:p w14:paraId="72EC7F1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9. složene građevine</w:t>
      </w:r>
    </w:p>
    <w:p w14:paraId="75D3B9D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10. građenje na zemljištu odnosno građevini za koje investitor nije riješio imovinskopravne odnose za koje je potrebno provesti postupak izvlaštenja</w:t>
      </w:r>
    </w:p>
    <w:p w14:paraId="568E5BE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11. zahvate u prostoru na pomorskom dobru za koje se sukladno posebnom propisu kojim se uređuju koncesije daje koncesija za građenje građevina i/ili postavljanje pomorskih objekata kao i onih koji se grade ili postavljaju na temelju ugovora o posebnoj upotrebi prema propisu kojim se uređuju pomorsko dobro i morske luke</w:t>
      </w:r>
    </w:p>
    <w:p w14:paraId="2E67A5A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12. građenje građevina za proizvodnju i/ili skladištenje električne energije</w:t>
      </w:r>
    </w:p>
    <w:p w14:paraId="594B96A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13. građenje građevina ako to stranka zatraži.</w:t>
      </w:r>
    </w:p>
    <w:p w14:paraId="43DF05A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Zahvate u prostoru koji se prema posebnim propisima kojima se uređuje gradnja ne smatraju građenjem, a za koje se izdaje lokacijska dozvola, određuje ministar pravilnikom.</w:t>
      </w:r>
    </w:p>
    <w:p w14:paraId="5DE84C47"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Eksploatacijsko polje ugljikovodika i geotermalne vode za energetske svrhe</w:t>
      </w:r>
    </w:p>
    <w:p w14:paraId="33C3289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155.</w:t>
      </w:r>
    </w:p>
    <w:p w14:paraId="60FA13A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Za eksploatacijsko polje ugljikovodika i geotermalne vode za energetske svrhe ne izdaje se lokacijska dozvola, već se isto određuje na način propisan zakonom kojim se uređuje istraživanje i eksploatacija ugljikovodika i geotermalnih voda, za koje ovo Ministarstvo izdaje potvrdu o usklađenosti s prostornim planom.</w:t>
      </w:r>
    </w:p>
    <w:p w14:paraId="74D1013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Zahtjev za izdavanje lokacijske dozvole</w:t>
      </w:r>
    </w:p>
    <w:p w14:paraId="1127F45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156.</w:t>
      </w:r>
    </w:p>
    <w:p w14:paraId="44D4ABC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(1) Postupak izdavanja lokacijske dozvole pokreće se na zahtjev zainteresirane stranke elektroničkim putem primjenom elektroničkog programa </w:t>
      </w:r>
      <w:proofErr w:type="spellStart"/>
      <w:r w:rsidRPr="007E17BF">
        <w:rPr>
          <w:rFonts w:ascii="Times New Roman" w:eastAsia="Times New Roman" w:hAnsi="Times New Roman"/>
          <w:color w:val="231F20"/>
          <w:sz w:val="20"/>
          <w:szCs w:val="20"/>
          <w:lang w:eastAsia="hr-HR"/>
        </w:rPr>
        <w:t>eDozvola</w:t>
      </w:r>
      <w:proofErr w:type="spellEnd"/>
      <w:r w:rsidRPr="007E17BF">
        <w:rPr>
          <w:rFonts w:ascii="Times New Roman" w:eastAsia="Times New Roman" w:hAnsi="Times New Roman"/>
          <w:color w:val="231F20"/>
          <w:sz w:val="20"/>
          <w:szCs w:val="20"/>
          <w:lang w:eastAsia="hr-HR"/>
        </w:rPr>
        <w:t>.</w:t>
      </w:r>
    </w:p>
    <w:p w14:paraId="2DCDED4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Zahtjevu za izdavanje lokacijske dozvole prilaže se:</w:t>
      </w:r>
    </w:p>
    <w:p w14:paraId="501447F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idejni projekt i sažetak</w:t>
      </w:r>
    </w:p>
    <w:p w14:paraId="35195E5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rješenje o prihvatljivosti zahvata za okoliš i/ili ekološku mrežu ako se radi o zahvatu u prostoru za koji postoji obveza njihova donošenja sukladno posebnim propisima iz područja zaštite okoliša i prirode</w:t>
      </w:r>
    </w:p>
    <w:p w14:paraId="29441AE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rješenje o ocjeni potrebe procjene utjecaja na okoliš ako se radi o zahvatu u prostoru za koji postoji obveza njegova donošenja sukladno posebnim propisima iz područja zaštite okoliša i prirode</w:t>
      </w:r>
    </w:p>
    <w:p w14:paraId="34C7C7D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potvrda o nostrifikaciji idejnog projekta ako je projekt izrađen prema stranim propisima</w:t>
      </w:r>
    </w:p>
    <w:p w14:paraId="6F4B1D8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dokaz pravnog interesa ako se radi o zahvatima iz članka 157. ovoga Zakona.</w:t>
      </w:r>
    </w:p>
    <w:p w14:paraId="2FB7F53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Dokumentacija iz stavka 2. ovoga članka podnosi se u elektroničkom obliku.</w:t>
      </w:r>
    </w:p>
    <w:p w14:paraId="3F473BE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(4) Iznimno od stavka 2. točke 1. ovoga članka, za zahvate u prostoru definirane pravilnikom iz članka 164. stavka 2. ovoga Zakona za koje se izrađuje BIM model, idejni projekt projektant može predati putem </w:t>
      </w:r>
      <w:proofErr w:type="spellStart"/>
      <w:r w:rsidRPr="007E17BF">
        <w:rPr>
          <w:rFonts w:ascii="Times New Roman" w:eastAsia="Times New Roman" w:hAnsi="Times New Roman"/>
          <w:color w:val="231F20"/>
          <w:sz w:val="20"/>
          <w:szCs w:val="20"/>
          <w:lang w:eastAsia="hr-HR"/>
        </w:rPr>
        <w:t>hrBIM</w:t>
      </w:r>
      <w:proofErr w:type="spellEnd"/>
      <w:r w:rsidRPr="007E17BF">
        <w:rPr>
          <w:rFonts w:ascii="Times New Roman" w:eastAsia="Times New Roman" w:hAnsi="Times New Roman"/>
          <w:color w:val="231F20"/>
          <w:sz w:val="20"/>
          <w:szCs w:val="20"/>
          <w:lang w:eastAsia="hr-HR"/>
        </w:rPr>
        <w:t xml:space="preserve"> elektroničkog sustava od 1. siječnja 2027.</w:t>
      </w:r>
    </w:p>
    <w:p w14:paraId="2AD1457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Dokaz pravnog interesa za izdavanje lokacijske dozvole</w:t>
      </w:r>
    </w:p>
    <w:p w14:paraId="3961A89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157.</w:t>
      </w:r>
    </w:p>
    <w:p w14:paraId="728D669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Dokazom pravnog interesa za zahvate u prostoru za koje je posebnim propisom propisano tko može provoditi zahvat u prostoru smatra se:</w:t>
      </w:r>
    </w:p>
    <w:p w14:paraId="35A5C8D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odluka, rješenje ili drugi akt nadležnog tijela kojim je podnositelj zahtjeva sukladno posebnom propisu određen kao osoba koja može provoditi zahvat u prostoru ili</w:t>
      </w:r>
    </w:p>
    <w:p w14:paraId="341677B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poziv na odredbu posebnog zakona kojim je propisano tko može provoditi zahvat u prostoru.</w:t>
      </w:r>
    </w:p>
    <w:p w14:paraId="5CFB3CE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Dokazom pravnog interesa u pogledu nekretnine na kojoj stjecanje stvarnih prava nije moguće, a pravo provođenja zahvata u prostoru stječe se koncesijom prema posebnom zakonu kojim se uređuju koncesije, smatra se ovlaštenje davatelja koncesije.</w:t>
      </w:r>
    </w:p>
    <w:p w14:paraId="2D5C8E8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U smislu dokaza pravnog interesa za građevine za proizvodnju i/ili skladištenje električne energije podnositelj zahtjeva mora dostaviti:</w:t>
      </w:r>
    </w:p>
    <w:p w14:paraId="52D4FA1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energetsko odobrenje izdano prema posebnim propisima iz područja energetike</w:t>
      </w:r>
    </w:p>
    <w:p w14:paraId="4F8AC91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ugovor o priključenju s operatorom sustava koji je obvezan izgraditi priključak i</w:t>
      </w:r>
    </w:p>
    <w:p w14:paraId="1A50C8C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suglasnost vlasnika nekretnine za koju se izdaje lokacijska dozvola, osim u slučaju kada je podnositelj zahtjeva za lokacijsku dozvolu pravna osoba kojoj je osnivač Republika Hrvatska.</w:t>
      </w:r>
    </w:p>
    <w:p w14:paraId="2832485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Ako se ne radi o zahvatu u prostoru iz ovoga članka, a zahvat se planira na zemljištu koje je u natpolovičnom vlasništvu Republike Hrvatske ili jedinice lokalne samouprave, dokazom pravnog interesa smatra se suglasnost nadležnog tijela koje upravlja zemljištem u vlasništvu Republike Hrvatske odnosno suglasnost jedinice lokalne samouprave koja upravlja tim zemljištem ili ugovor o pravu građenja odnosno služnosti za poduzimanje zahvata.</w:t>
      </w:r>
    </w:p>
    <w:p w14:paraId="2C0DFC3C" w14:textId="77777777" w:rsid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(5) Dokazom pravnog interesa za građevine </w:t>
      </w:r>
      <w:proofErr w:type="spellStart"/>
      <w:r w:rsidRPr="007E17BF">
        <w:rPr>
          <w:rFonts w:ascii="Times New Roman" w:eastAsia="Times New Roman" w:hAnsi="Times New Roman"/>
          <w:color w:val="231F20"/>
          <w:sz w:val="20"/>
          <w:szCs w:val="20"/>
          <w:lang w:eastAsia="hr-HR"/>
        </w:rPr>
        <w:t>priuštivog</w:t>
      </w:r>
      <w:proofErr w:type="spellEnd"/>
      <w:r w:rsidRPr="007E17BF">
        <w:rPr>
          <w:rFonts w:ascii="Times New Roman" w:eastAsia="Times New Roman" w:hAnsi="Times New Roman"/>
          <w:color w:val="231F20"/>
          <w:sz w:val="20"/>
          <w:szCs w:val="20"/>
          <w:lang w:eastAsia="hr-HR"/>
        </w:rPr>
        <w:t xml:space="preserve"> stanovanja smatra se suglasnost Vlade ili jedinice lokalne odnosno područne (regionalne) samouprave.</w:t>
      </w:r>
    </w:p>
    <w:p w14:paraId="2CA3D941" w14:textId="77777777" w:rsidR="00D2578D"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3289EA03" w14:textId="77777777" w:rsidR="00D2578D"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7A7AFE9E" w14:textId="77777777" w:rsidR="00D2578D" w:rsidRPr="007E17BF"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2F926057"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Idejni projekt</w:t>
      </w:r>
    </w:p>
    <w:p w14:paraId="1D86BB94"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158.</w:t>
      </w:r>
    </w:p>
    <w:p w14:paraId="54D6EBA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Idejni projekt je skup međusobno usklađenih nacrta i dokumenata struka koje, ovisno o vrsti zahvata u prostoru, sudjeluju u projektiranju, a kojima se:</w:t>
      </w:r>
    </w:p>
    <w:p w14:paraId="541BBCD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daju osnovna oblikovno-funkcionalna i tehnička rješenja zahvata u prostoru (idejno-tehničko rješenje)</w:t>
      </w:r>
    </w:p>
    <w:p w14:paraId="4729378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prikazuje smještaj jedne ili više građevina na građevnoj čestici i/ili unutar obuhvata zahvata u prostoru</w:t>
      </w:r>
    </w:p>
    <w:p w14:paraId="1344670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prikazuje smještaj i osnovni tehnički parametri postojeće infrastrukture u zoni zahvata</w:t>
      </w:r>
    </w:p>
    <w:p w14:paraId="42312C5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prikazuje krajobrazno uređenje većih prostornih cjelina kao što su igrališta za golf, kampovi, turističke zone i dr.</w:t>
      </w:r>
    </w:p>
    <w:p w14:paraId="737FEE2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određuje osnovna polazišta značajna za određivanje temeljnih zahtjeva za građevinu i drugih zahtjeva za građevinu.</w:t>
      </w:r>
    </w:p>
    <w:p w14:paraId="0DE076D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Idejni projekt mora na neposredan i odgovarajući način sadržavati sve podatke potrebne za izdavanje akta za provedbu zahvata u prostoru (lokacijske uvjete) te mora biti izrađen na način iz kojeg je vidljivo da su projektirana idejno-tehničko rješenja u skladu s propisima iz područja prostornog uređenja i propisima iz područja zaštite okoliša i prirode i drugim propisima koji se primjenjuju prilikom projektiranja u ovisnosti o namjeni zahvata u prostoru.</w:t>
      </w:r>
    </w:p>
    <w:p w14:paraId="773B9E6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(3) Podatke iz stavka 1. točke 3. ovoga članka za potrebe izrade idejnog projekta potrebno je putem elektroničkog programa </w:t>
      </w:r>
      <w:proofErr w:type="spellStart"/>
      <w:r w:rsidRPr="007E17BF">
        <w:rPr>
          <w:rFonts w:ascii="Times New Roman" w:eastAsia="Times New Roman" w:hAnsi="Times New Roman"/>
          <w:color w:val="231F20"/>
          <w:sz w:val="20"/>
          <w:szCs w:val="20"/>
          <w:lang w:eastAsia="hr-HR"/>
        </w:rPr>
        <w:t>eDozvola</w:t>
      </w:r>
      <w:proofErr w:type="spellEnd"/>
      <w:r w:rsidRPr="007E17BF">
        <w:rPr>
          <w:rFonts w:ascii="Times New Roman" w:eastAsia="Times New Roman" w:hAnsi="Times New Roman"/>
          <w:color w:val="231F20"/>
          <w:sz w:val="20"/>
          <w:szCs w:val="20"/>
          <w:lang w:eastAsia="hr-HR"/>
        </w:rPr>
        <w:t xml:space="preserve"> zatražiti od javnopravnih tijela koja upravljaju infrastrukturom u zoni zahvata.</w:t>
      </w:r>
    </w:p>
    <w:p w14:paraId="4539754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Ako je za organizaciju gradilišta na kojem će se provesti zahvat u prostoru za koji se izrađuje idejni projekt potrebna privremena građevina, idejni projekt sadrži po potrebi i tehničko rješenje privremene građevine.</w:t>
      </w:r>
    </w:p>
    <w:p w14:paraId="485592F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Sažetak se sastoji od situacije zahvata u prostoru građevine unutar obuhvata zahvata na propisanoj geodetskoj podlozi i tekstualnog opisa zahvata, a za zgrade i prikaza pročelja.</w:t>
      </w:r>
    </w:p>
    <w:p w14:paraId="15F4DE7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Sažetak iz stavka 5. ovoga članka predstavlja jedini dio idejnog projekta koji može biti predmetom prava na pristup informacijama prema posebnom propisu.</w:t>
      </w:r>
    </w:p>
    <w:p w14:paraId="6E07139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Idejni projekt sastavni je dio lokacijske dozvole.</w:t>
      </w:r>
    </w:p>
    <w:p w14:paraId="2087163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Situacija i elektronički zapis koordinata lomnih točaka</w:t>
      </w:r>
    </w:p>
    <w:p w14:paraId="796D1D9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159.</w:t>
      </w:r>
    </w:p>
    <w:p w14:paraId="6A1423B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Idejni projekt za lokacijsku dozvolu kojom se određuje formiranje građevne čestice odnosno obuhvat zahvata u prostoru te smještaj jedne ili više građevina na građevnoj čestici odnosno obuhvatu zahvata, sadrži situaciju građevine i/ili zahvata u prostoru na geodetskim podlogama propisanim pravilnikom iz članka 154. stavka 2. ovoga Zakona.</w:t>
      </w:r>
    </w:p>
    <w:p w14:paraId="21ABB80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Uz idejni projekt prilaže se elektronički zapis koordinata lomnih točaka građevne čestice odnosno obuhvata zahvata u prostoru u GML formatu.</w:t>
      </w:r>
    </w:p>
    <w:p w14:paraId="53C0422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Izrada idejnog projekta</w:t>
      </w:r>
    </w:p>
    <w:p w14:paraId="11B7C3C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160.</w:t>
      </w:r>
    </w:p>
    <w:p w14:paraId="51DEF77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Idejni projekt izrađuju projektanti različitih struka. Projektant je fizička osoba koja prema posebnom zakonu ima pravo uporabe strukovnog naziva ovlašteni arhitekt ili ovlašteni inženjer.</w:t>
      </w:r>
    </w:p>
    <w:p w14:paraId="71C9982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Projektant je odgovoran da je idejni projekt izrađen u skladu s ovim Zakonom, uvjetima za provedbu zahvata u prostoru propisanim prostornim planom predmetnog područja, posebnim propisima te da su njegovi pojedini dijelovi međusobno usklađeni.</w:t>
      </w:r>
    </w:p>
    <w:p w14:paraId="5DDFFCC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Projektant koji je izradio izmjene i/ili dopune idejnog projekta odgovoran je za cijeli idejni projekt.</w:t>
      </w:r>
    </w:p>
    <w:p w14:paraId="74F0E64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Jedinstvenost idejnog projekta</w:t>
      </w:r>
    </w:p>
    <w:p w14:paraId="58C04F3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161.</w:t>
      </w:r>
    </w:p>
    <w:p w14:paraId="64AD091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Idejni projekt odnosno njegovi dijelovi moraju biti izrađeni na način koji osigurava njegovu jedinstvenost s obzirom na zahvat u prostoru za koji je izrađen.</w:t>
      </w:r>
    </w:p>
    <w:p w14:paraId="5D43869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Idejni projekt odnosno njegovi dijelovi izrađuju se kao elektronički zapis tako da je onemogućena promjena njegova sadržaja odnosno zamjena njegovih dijelova, osim u propisanom slučaju te se potpisuju elektroničkim potpisom.</w:t>
      </w:r>
    </w:p>
    <w:p w14:paraId="028EF54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BIM model idejnog projekta</w:t>
      </w:r>
    </w:p>
    <w:p w14:paraId="41651F0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162.</w:t>
      </w:r>
    </w:p>
    <w:p w14:paraId="5F6529A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Idejni projekt izrađen kao BIM model predstavlja skup međusobno usklađenih 3D modela struka koje ovisno o vrsti zahvata sudjeluju u projektiranju.</w:t>
      </w:r>
    </w:p>
    <w:p w14:paraId="46FB42F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BIM model idejnog projekta sadržava elemente određene razine razvijenosti (LOD 200), a elementi bitni za određenu struku i traženu fazu projekta moraju biti na razini razvijenosti dovoljnoj za idejni projekt.</w:t>
      </w:r>
    </w:p>
    <w:p w14:paraId="30457F2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(3) U idejnim projektima elementi modela su modelirani kao generalizirani sustavi, objekti ili sklopovi s približnim količinama, veličinama, oblikom, položajem i orijentacijom. </w:t>
      </w:r>
      <w:proofErr w:type="spellStart"/>
      <w:r w:rsidRPr="007E17BF">
        <w:rPr>
          <w:rFonts w:ascii="Times New Roman" w:eastAsia="Times New Roman" w:hAnsi="Times New Roman"/>
          <w:color w:val="231F20"/>
          <w:sz w:val="20"/>
          <w:szCs w:val="20"/>
          <w:lang w:eastAsia="hr-HR"/>
        </w:rPr>
        <w:t>Negeometrijske</w:t>
      </w:r>
      <w:proofErr w:type="spellEnd"/>
      <w:r w:rsidRPr="007E17BF">
        <w:rPr>
          <w:rFonts w:ascii="Times New Roman" w:eastAsia="Times New Roman" w:hAnsi="Times New Roman"/>
          <w:color w:val="231F20"/>
          <w:sz w:val="20"/>
          <w:szCs w:val="20"/>
          <w:lang w:eastAsia="hr-HR"/>
        </w:rPr>
        <w:t xml:space="preserve"> informacije mogu biti pridružene modeliranim elementima.</w:t>
      </w:r>
    </w:p>
    <w:p w14:paraId="752D0C68" w14:textId="77777777" w:rsid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Odredbe ovoga Zakona koje se odnose na idejni projekt na odgovarajući se način primjenjuju na BIM model idejnog projekta.</w:t>
      </w:r>
    </w:p>
    <w:p w14:paraId="62EBB050" w14:textId="77777777" w:rsidR="00D2578D" w:rsidRPr="007E17BF"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5C41E5E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Predaja BIM modela idejnog projekta</w:t>
      </w:r>
    </w:p>
    <w:p w14:paraId="671E573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163.</w:t>
      </w:r>
    </w:p>
    <w:p w14:paraId="1203BF1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(1) BIM model idejnog projekta predaje se u IFC formatu putem elektroničkog sustava </w:t>
      </w:r>
      <w:proofErr w:type="spellStart"/>
      <w:r w:rsidRPr="007E17BF">
        <w:rPr>
          <w:rFonts w:ascii="Times New Roman" w:eastAsia="Times New Roman" w:hAnsi="Times New Roman"/>
          <w:color w:val="231F20"/>
          <w:sz w:val="20"/>
          <w:szCs w:val="20"/>
          <w:lang w:eastAsia="hr-HR"/>
        </w:rPr>
        <w:t>hrBIM</w:t>
      </w:r>
      <w:proofErr w:type="spellEnd"/>
      <w:r w:rsidRPr="007E17BF">
        <w:rPr>
          <w:rFonts w:ascii="Times New Roman" w:eastAsia="Times New Roman" w:hAnsi="Times New Roman"/>
          <w:color w:val="231F20"/>
          <w:sz w:val="20"/>
          <w:szCs w:val="20"/>
          <w:lang w:eastAsia="hr-HR"/>
        </w:rPr>
        <w:t>.</w:t>
      </w:r>
    </w:p>
    <w:p w14:paraId="34C638A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IFC je otvorena specifikacija i nevlasnički BIM format datoteke za razmjenu BIM modela i ostalih informacija koji ovisno o vrsti zahvata sadrži elemente propisane pravilnikom iz članka 164. stavka 2. ovoga Zakona.</w:t>
      </w:r>
    </w:p>
    <w:p w14:paraId="33786F6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(3) Za predaju, pregled i verifikaciju BIM modela idejnog projekta koristi se elektronički sustav </w:t>
      </w:r>
      <w:proofErr w:type="spellStart"/>
      <w:r w:rsidRPr="007E17BF">
        <w:rPr>
          <w:rFonts w:ascii="Times New Roman" w:eastAsia="Times New Roman" w:hAnsi="Times New Roman"/>
          <w:color w:val="231F20"/>
          <w:sz w:val="20"/>
          <w:szCs w:val="20"/>
          <w:lang w:eastAsia="hr-HR"/>
        </w:rPr>
        <w:t>hrBIM</w:t>
      </w:r>
      <w:proofErr w:type="spellEnd"/>
      <w:r w:rsidRPr="007E17BF">
        <w:rPr>
          <w:rFonts w:ascii="Times New Roman" w:eastAsia="Times New Roman" w:hAnsi="Times New Roman"/>
          <w:color w:val="231F20"/>
          <w:sz w:val="20"/>
          <w:szCs w:val="20"/>
          <w:lang w:eastAsia="hr-HR"/>
        </w:rPr>
        <w:t>.</w:t>
      </w:r>
    </w:p>
    <w:p w14:paraId="2E57A61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(4) Detaljni sadržaj i način predaje u elektronički sustav </w:t>
      </w:r>
      <w:proofErr w:type="spellStart"/>
      <w:r w:rsidRPr="007E17BF">
        <w:rPr>
          <w:rFonts w:ascii="Times New Roman" w:eastAsia="Times New Roman" w:hAnsi="Times New Roman"/>
          <w:color w:val="231F20"/>
          <w:sz w:val="20"/>
          <w:szCs w:val="20"/>
          <w:lang w:eastAsia="hr-HR"/>
        </w:rPr>
        <w:t>hrBIM</w:t>
      </w:r>
      <w:proofErr w:type="spellEnd"/>
      <w:r w:rsidRPr="007E17BF">
        <w:rPr>
          <w:rFonts w:ascii="Times New Roman" w:eastAsia="Times New Roman" w:hAnsi="Times New Roman"/>
          <w:color w:val="231F20"/>
          <w:sz w:val="20"/>
          <w:szCs w:val="20"/>
          <w:lang w:eastAsia="hr-HR"/>
        </w:rPr>
        <w:t xml:space="preserve"> propisuje ministar pravilnikom iz članka 164. stavka 2. ovoga Zakona.</w:t>
      </w:r>
    </w:p>
    <w:p w14:paraId="738C16C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Pravilnik o obveznom sadržaju idejnog projekta i pravilnik o BIM projektu</w:t>
      </w:r>
    </w:p>
    <w:p w14:paraId="60538AC4"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164.</w:t>
      </w:r>
    </w:p>
    <w:p w14:paraId="7FFF686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Obvezni sadržaj i elemente idejnog projekta, način opremanja, uvjete promjene sadržaja, označavanja projekta i način ovjere projekta od strane odgovornih osoba, te građevine za koje se određuje građevna čestica i/ili obuhvat zahvata u prostoru i način njegova određivanja, propisuje ministar pravilnikom o obveznom sadržaju idejnog projekta.</w:t>
      </w:r>
    </w:p>
    <w:p w14:paraId="04542FA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(2) Obvezni sadržaj i elemente BIM modela digitalnog projekta za zahvate u prostoru za koje se izrađuje BIM projekt, kao i detaljni sadržaj i način predaje u elektronički sustav </w:t>
      </w:r>
      <w:proofErr w:type="spellStart"/>
      <w:r w:rsidRPr="007E17BF">
        <w:rPr>
          <w:rFonts w:ascii="Times New Roman" w:eastAsia="Times New Roman" w:hAnsi="Times New Roman"/>
          <w:color w:val="231F20"/>
          <w:sz w:val="20"/>
          <w:szCs w:val="20"/>
          <w:lang w:eastAsia="hr-HR"/>
        </w:rPr>
        <w:t>hrBIM</w:t>
      </w:r>
      <w:proofErr w:type="spellEnd"/>
      <w:r w:rsidRPr="007E17BF">
        <w:rPr>
          <w:rFonts w:ascii="Times New Roman" w:eastAsia="Times New Roman" w:hAnsi="Times New Roman"/>
          <w:color w:val="231F20"/>
          <w:sz w:val="20"/>
          <w:szCs w:val="20"/>
          <w:lang w:eastAsia="hr-HR"/>
        </w:rPr>
        <w:t xml:space="preserve"> propisuje ministar pravilnikom o BIM projektu.</w:t>
      </w:r>
    </w:p>
    <w:p w14:paraId="2CB4C80D"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Autorska prava</w:t>
      </w:r>
    </w:p>
    <w:p w14:paraId="2E6B5EE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165.</w:t>
      </w:r>
    </w:p>
    <w:p w14:paraId="6824CF5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Autorska prava na idejnom projektu stječu se sukladno posebnom zakonu, osim ako ugovorom o izradi projekta nije ugovoreno drukčije, što ne utječe na mogućnost izdavanja akata sukladno ovom Zakonu.</w:t>
      </w:r>
    </w:p>
    <w:p w14:paraId="6733D78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Utvrđivanje usklađenosti (nostrifikacija) idejnog projekta</w:t>
      </w:r>
    </w:p>
    <w:p w14:paraId="4AE077D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166.</w:t>
      </w:r>
    </w:p>
    <w:p w14:paraId="2061469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Idejni projekt izrađen prema stranim propisima smatra se projektom izrađenim prema ovom Zakonu ako je provedeno utvrđivanje njegove usklađenosti s hrvatskim propisima (u daljnjem tekstu: nostrifikacija).</w:t>
      </w:r>
    </w:p>
    <w:p w14:paraId="4EDF165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Idejni projekt odnosno njihovi dijelovi moraju biti prevedeni na hrvatski jezik prije nostrifikacije.</w:t>
      </w:r>
    </w:p>
    <w:p w14:paraId="5F697DA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Uz prijevod na hrvatski jezik projekt mora zadržati izvorni tekst na stranom jeziku.</w:t>
      </w:r>
    </w:p>
    <w:p w14:paraId="6D06F67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Osoba koja provodi nostrifikaciju</w:t>
      </w:r>
    </w:p>
    <w:p w14:paraId="3F29276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167.</w:t>
      </w:r>
    </w:p>
    <w:p w14:paraId="28D9E9B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Nostrifikaciju idejnog projekta u okviru zadaća svoje struke provodi osoba koja prema posebnom zakonu ima pravo uporabe strukovnog naziva ovlašteni arhitekt ili ovlašteni inženjer odnosno pravna osoba koja ima zaposlenu osobu koja ima pravo uporabe tog strukovnog naziva.</w:t>
      </w:r>
    </w:p>
    <w:p w14:paraId="4AE90ED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Osoba koja obavi nostrifikaciju dužna je o tome na propisani način sastaviti pisano izvješće, ovjeriti projekt i dati izjavu.</w:t>
      </w:r>
    </w:p>
    <w:p w14:paraId="69EC234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Ako idejnom projektu koji se nostrificira nedostaju propisani dijelovi, osoba koja provodi nostrifikaciju može izraditi te dijelove projekta.</w:t>
      </w:r>
    </w:p>
    <w:p w14:paraId="23114ED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Pisano izvješće i ovjera projekta iz stavka 2. ovoga članka izrađuju se kao elektronički zapis i potpisuju elektroničkim potpisom.</w:t>
      </w:r>
    </w:p>
    <w:p w14:paraId="6A09E92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Informacije o položaju infrastrukture</w:t>
      </w:r>
    </w:p>
    <w:p w14:paraId="1942DB6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168.</w:t>
      </w:r>
    </w:p>
    <w:p w14:paraId="34E7F4E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Prije pokretanja postupka izdavanja akta za provedbu zahvata u prostoru projektant može u svrhu izrade idejnog projekta, infrastrukturnog projekta ili urbanističkog projekta putem elektroničkog programa </w:t>
      </w:r>
      <w:proofErr w:type="spellStart"/>
      <w:r w:rsidRPr="007E17BF">
        <w:rPr>
          <w:rFonts w:ascii="Times New Roman" w:eastAsia="Times New Roman" w:hAnsi="Times New Roman"/>
          <w:color w:val="231F20"/>
          <w:sz w:val="20"/>
          <w:szCs w:val="20"/>
          <w:lang w:eastAsia="hr-HR"/>
        </w:rPr>
        <w:t>eDozvola</w:t>
      </w:r>
      <w:proofErr w:type="spellEnd"/>
      <w:r w:rsidRPr="007E17BF">
        <w:rPr>
          <w:rFonts w:ascii="Times New Roman" w:eastAsia="Times New Roman" w:hAnsi="Times New Roman"/>
          <w:color w:val="231F20"/>
          <w:sz w:val="20"/>
          <w:szCs w:val="20"/>
          <w:lang w:eastAsia="hr-HR"/>
        </w:rPr>
        <w:t xml:space="preserve"> od javnopravnih tijela zatražiti informacije o položaju infrastrukture.</w:t>
      </w:r>
    </w:p>
    <w:p w14:paraId="41AA3C3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Utvrđivanje posebnih uvjeta i uvjeta priključenja</w:t>
      </w:r>
    </w:p>
    <w:p w14:paraId="3AD614E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169.</w:t>
      </w:r>
    </w:p>
    <w:p w14:paraId="41EDB25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(1) Posebni uvjeti odnosno uvjeti priključenja utvrđuju se u postupku izdavanja lokacijske dozvole elektroničkim putem primjenom elektroničkog programa </w:t>
      </w:r>
      <w:proofErr w:type="spellStart"/>
      <w:r w:rsidRPr="007E17BF">
        <w:rPr>
          <w:rFonts w:ascii="Times New Roman" w:eastAsia="Times New Roman" w:hAnsi="Times New Roman"/>
          <w:color w:val="231F20"/>
          <w:sz w:val="20"/>
          <w:szCs w:val="20"/>
          <w:lang w:eastAsia="hr-HR"/>
        </w:rPr>
        <w:t>eDozvola</w:t>
      </w:r>
      <w:proofErr w:type="spellEnd"/>
      <w:r w:rsidRPr="007E17BF">
        <w:rPr>
          <w:rFonts w:ascii="Times New Roman" w:eastAsia="Times New Roman" w:hAnsi="Times New Roman"/>
          <w:color w:val="231F20"/>
          <w:sz w:val="20"/>
          <w:szCs w:val="20"/>
          <w:lang w:eastAsia="hr-HR"/>
        </w:rPr>
        <w:t>.</w:t>
      </w:r>
    </w:p>
    <w:p w14:paraId="56DFC98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Upravno tijelo odnosno Ministarstvo poziva javnopravna tijela na utvrđivanje posebnih uvjeta odnosno uvjeta priključenja na idejni projekt najkasnije u roku od 30 dana od primitka urednog zahtjeva za izdavanje lokacijske dozvole u slučaju u kojem je to propisano posebnim propisom.</w:t>
      </w:r>
    </w:p>
    <w:p w14:paraId="6243785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Upravno tijelo odnosno Ministarstvo pri ocjeni urednosti zahtjeva za izdavanje lokacijske dozvole, a prije pokretanja postupka utvrđivanja posebnih uvjeta odnosno uvjeta priključenja, utvrđuje je li idejni projekt izrađen u skladu s ovim Zakonom, pravilnikom iz članka 164. ovoga Zakona i prostornim planovima.</w:t>
      </w:r>
    </w:p>
    <w:p w14:paraId="516D81B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Posebni uvjeti odnosno uvjeti priključenja utvrđeni na idejni projekt sastavni su dio lokacijske dozvole te prestaju važiti s danom prestanka važenja lokacijske dozvole.</w:t>
      </w:r>
    </w:p>
    <w:p w14:paraId="7115517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(5) Utvrđivanje posebnih uvjeta odnosno uvjeta priključenja u postupku izdavanja lokacijske dozvole provodi se i u slučaju prethodno provedenog postupka utvrđivanja posebnih uvjeta odnosno uvjeta priključenja u svrhu izrade glavnog projekta prema posebnim propisima kojima se uređuje gradnja.</w:t>
      </w:r>
    </w:p>
    <w:p w14:paraId="59E25CB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Osim sadržaja propisanog člancima 158. do 164. ovoga Zakona, idejni projekt sadrži i podatke koji su u smislu posebnog propisa potrebni za utvrđivanje posebnih uvjeta odnosno uvjeta priključenja te elaborat koji je prema posebnom zakonu uvjet za utvrđivanje posebnih uvjeta.</w:t>
      </w:r>
    </w:p>
    <w:p w14:paraId="5C0B3A95"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Očitovanje javnopravnih tijela</w:t>
      </w:r>
    </w:p>
    <w:p w14:paraId="35D3542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170.</w:t>
      </w:r>
    </w:p>
    <w:p w14:paraId="074F1BF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Javnopravna tijela dužna su se očitovati o tome je li idejni projekt izrađen u skladu s posebnim propisima iz njihove nadležnosti te dostaviti posebne uvjete odnosno uvjete priključenja na idejni projekt u roku od 30 dana od dana poziva na utvrđivanje posebnih uvjeta.</w:t>
      </w:r>
    </w:p>
    <w:p w14:paraId="00F1232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Ako javnopravno tijelo u roku iz stavka 1. ovoga članka ne dostavi očitovanje da je idejni projekt izrađen u skladu s posebnim propisima odnosno ne dostavi posebne uvjete i uvjete priključenja, smatra se da su posebni uvjeti izdani odnosno da se građevinu može priključiti na infrastrukturu.</w:t>
      </w:r>
    </w:p>
    <w:p w14:paraId="3DDF81F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Ako su u posebnim uvjetima odnosno uvjetima priključenja navedeni uvjeti za koje nije nadležno javnopravno tijelo koje ih je izdalo, ili ako su ti uvjeti protivni odredbama prostornog plana ili posebnim propisima, ne smatraju se važećim dijelovima posebnih uvjeta odnosno uvjeta priključenja.</w:t>
      </w:r>
    </w:p>
    <w:p w14:paraId="428A9E6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Javnopravno tijelo od upravnog tijela odnosno Ministarstva ne može u svrhu utvrđivanja posebnih uvjeta i uvjeta priključenja tražiti plaćanje predujma troškova, troškova utvrđivanja posebnih uvjeta odnosno uvjeta priključenja niti za dostavu odnosno izradu drugih dokumenata ili elaborata i ne smiju navoditi ime investitora koji je dužan izraditi pojedine dijelove infrastrukture s obzirom na to da je isto predmet posebnih propisa.</w:t>
      </w:r>
    </w:p>
    <w:p w14:paraId="5AECA6E5"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Ispravak idejnog projekta</w:t>
      </w:r>
    </w:p>
    <w:p w14:paraId="43CB7D3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171.</w:t>
      </w:r>
    </w:p>
    <w:p w14:paraId="708FF25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Ako se javnopravna tijela u roku iz članka 170. stavka 1. ovoga Zakona očituju da je idejni projekt izrađen u skladu s posebnim propisima iz njihove nadležnosti, dostave utvrđene posebne uvjete odnosno uvjete priključenja ili se očituju da nemaju posebnih uvjeta odnosno uvjeta priključenja, upravno tijelo odnosno Ministarstvo u roku od osam dana od isteka roka iz članka 170. stavka 1. ovoga Zakona poziva stranke na uvid u spis predmeta lokacijske dozvole.</w:t>
      </w:r>
    </w:p>
    <w:p w14:paraId="5D50A60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Ako se javnopravna tijela u roku iz članka 170. stavka 1. ovoga Zakona očituju da idejni projekt nije izrađen u skladu s posebnim propisima iz njihove nadležnosti, upravno tijelo odnosno Ministarstvo će u roku od osam dana od isteka roka iz članka 170. stavka 1. ovoga Zakona zaključkom podnositelju zahtjeva odrediti primjereni rok za ispravak idejnog projekta, a ako podnositelj zahtjeva ne postupi po tom zaključku, zahtjev za izdavanje lokacijske dozvole se odbija.</w:t>
      </w:r>
    </w:p>
    <w:p w14:paraId="79FE642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Nakon što podnositelj zahtjeva dostavi ispravljeni idejni projekt u danom roku, upravno tijelo odnosno Ministarstvo najkasnije u roku od osam dana od dostave ispravljenog idejnog projekta ponovno poziva javnopravna tijela na utvrđivanje posebnih uvjeta odnosno uvjeta priključenja, u kojem se slučaju na odgovarajući način primjenjuju odredbe članka 170. ovoga Zakona.</w:t>
      </w:r>
    </w:p>
    <w:p w14:paraId="2F5652C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Ako javnopravno tijelo u postupku utvrđivanja posebnih uvjeta odnosno uvjeta priključenja na ispravljeni idejni projekt ponovno utvrdi da idejni projekt nije izrađen u skladu s posebnim propisima iz njihove nadležnosti odnosno da nisu ispoštovani posebni uvjeti ishođeni od tog javnopravnog tijela, dužno je o tome izdati rješenje te ga dostaviti podnositelju zahtjeva i upravnom tijelu odnosno Ministarstvu u roku od 30 dana od dana ponovljenog poziva na utvrđivanje posebnih uvjeta odnosno uvjeta priključenja.</w:t>
      </w:r>
    </w:p>
    <w:p w14:paraId="1DB1EE11"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bdr w:val="none" w:sz="0" w:space="0" w:color="auto" w:frame="1"/>
          <w:lang w:eastAsia="hr-HR"/>
        </w:rPr>
        <w:t>Žalba protiv rješenja javnopravnog tijela</w:t>
      </w:r>
    </w:p>
    <w:p w14:paraId="4E06B2E1"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172.</w:t>
      </w:r>
    </w:p>
    <w:p w14:paraId="72093E1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Protiv rješenja javnopravnog tijela iz članka 171. stavka 4. ovoga Zakona podnositelj zahtjeva ima pravo žalbe odnosno pravo pokretanja upravnog spora ako žalba nije dopuštena, o čemu tijelo nadležno za odlučivanje o žalbi odnosno upravni sud rješava u hitnom postupku.</w:t>
      </w:r>
    </w:p>
    <w:p w14:paraId="67A12A0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Dokaz o izjavljivanju žalbe odnosno pokretanju upravnog spora protiv rješenja iz članka 171. stavka 4. ovoga Zakona podnositelj zahtjeva dužan je u roku od 30 dana od dana primitka tog rješenja dostaviti upravnom tijelu odnosno Ministarstvu koje u tom slučaju postupak izdavanja lokacijske dozvole prekida do pravomoćnosti odluke o žalbi odnosno tužbi.</w:t>
      </w:r>
    </w:p>
    <w:p w14:paraId="2CD6A85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Ako podnositelj zahtjeva ne postupi u skladu sa stavkom 2. ovoga članka, zahtjev za izdavanje lokacijske dozvole se odbija.</w:t>
      </w:r>
    </w:p>
    <w:p w14:paraId="4205AC63" w14:textId="77777777" w:rsid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Tijelo nadležno za odlučivanje o žalbi odnosno upravni sud dužni su upravnom tijelu odnosno Ministarstvu radi znanja dostaviti odluku o žalbi odnosno tužbi.</w:t>
      </w:r>
    </w:p>
    <w:p w14:paraId="1FFBF1D3" w14:textId="77777777" w:rsidR="00D2578D"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7C4E188F" w14:textId="77777777" w:rsidR="00D2578D" w:rsidRPr="007E17BF"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6EB3191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Elektronička komunikacija</w:t>
      </w:r>
    </w:p>
    <w:p w14:paraId="67D5AFD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173.</w:t>
      </w:r>
    </w:p>
    <w:p w14:paraId="0BC79EF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(1) Upravno tijelo, Ministarstvo, javnopravno tijelo i projektant u postupcima utvrđivanja posebnih uvjeta i uvjeta priključenja međusobno komuniciraju elektroničkim putem primjenom elektroničkog programa </w:t>
      </w:r>
      <w:proofErr w:type="spellStart"/>
      <w:r w:rsidRPr="007E17BF">
        <w:rPr>
          <w:rFonts w:ascii="Times New Roman" w:eastAsia="Times New Roman" w:hAnsi="Times New Roman"/>
          <w:color w:val="231F20"/>
          <w:sz w:val="20"/>
          <w:szCs w:val="20"/>
          <w:lang w:eastAsia="hr-HR"/>
        </w:rPr>
        <w:t>eDozvola</w:t>
      </w:r>
      <w:proofErr w:type="spellEnd"/>
      <w:r w:rsidRPr="007E17BF">
        <w:rPr>
          <w:rFonts w:ascii="Times New Roman" w:eastAsia="Times New Roman" w:hAnsi="Times New Roman"/>
          <w:color w:val="231F20"/>
          <w:sz w:val="20"/>
          <w:szCs w:val="20"/>
          <w:lang w:eastAsia="hr-HR"/>
        </w:rPr>
        <w:t>.</w:t>
      </w:r>
    </w:p>
    <w:p w14:paraId="0429B3F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Posebni uvjeti i uvjeti priključenja izdaju se kao elektroničke isprave.</w:t>
      </w:r>
    </w:p>
    <w:p w14:paraId="4EE8A1A1"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Lokacijski uvjeti</w:t>
      </w:r>
    </w:p>
    <w:p w14:paraId="4D8D741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174.</w:t>
      </w:r>
    </w:p>
    <w:p w14:paraId="46AC08C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Lokacijskom dozvolom se, ovisno o vrsti zahvata u prostoru i vrsti radova, u skladu s dokumentima prostornog uređenja tog područja i/ili odredbama ovoga Zakona određuju osnovni lokacijski uvjeti kojima se, ovisno o vrsti namjeravanog zahvata u prostoru, navodi:</w:t>
      </w:r>
    </w:p>
    <w:p w14:paraId="50D8788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vrsta radova kao što su građenje nove građevine, rekonstrukcija postojeće građevine i sl.</w:t>
      </w:r>
    </w:p>
    <w:p w14:paraId="1B94B78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lokacija zahvata u prostoru prema situacijskim prikazima iz idejnog projekta</w:t>
      </w:r>
    </w:p>
    <w:p w14:paraId="3351596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namjena građevine s okvirnim brojem posebnih dijelova nekretnine koji su samostalne uporabne cjeline kao što su stan, poslovni prostor, garaža i sl. i/ili funkcionalnih jedinica kao što su hotelska soba, apartman i sl.</w:t>
      </w:r>
    </w:p>
    <w:p w14:paraId="52DFE0C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oblik i veličina građevne čestice i/ili obuhvata zahvata u prostoru</w:t>
      </w:r>
    </w:p>
    <w:p w14:paraId="71BFA8C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površina za mogući smještaj jedne ili više građevina na građevnoj čestici i/ili unutar obuhvata zahvata u prostoru</w:t>
      </w:r>
    </w:p>
    <w:p w14:paraId="60BBD79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površina za mogući smještaj modularno-montažnih kućica (pokretnih i </w:t>
      </w:r>
      <w:proofErr w:type="spellStart"/>
      <w:r w:rsidRPr="007E17BF">
        <w:rPr>
          <w:rFonts w:ascii="Times New Roman" w:eastAsia="Times New Roman" w:hAnsi="Times New Roman"/>
          <w:color w:val="231F20"/>
          <w:sz w:val="20"/>
          <w:szCs w:val="20"/>
          <w:bdr w:val="none" w:sz="0" w:space="0" w:color="auto" w:frame="1"/>
          <w:lang w:eastAsia="hr-HR"/>
        </w:rPr>
        <w:t>glamping</w:t>
      </w:r>
      <w:proofErr w:type="spellEnd"/>
      <w:r w:rsidRPr="007E17BF">
        <w:rPr>
          <w:rFonts w:ascii="Times New Roman" w:eastAsia="Times New Roman" w:hAnsi="Times New Roman"/>
          <w:color w:val="231F20"/>
          <w:sz w:val="20"/>
          <w:szCs w:val="20"/>
          <w:bdr w:val="none" w:sz="0" w:space="0" w:color="auto" w:frame="1"/>
          <w:lang w:eastAsia="hr-HR"/>
        </w:rPr>
        <w:t>) </w:t>
      </w:r>
      <w:r w:rsidRPr="007E17BF">
        <w:rPr>
          <w:rFonts w:ascii="Times New Roman" w:eastAsia="Times New Roman" w:hAnsi="Times New Roman"/>
          <w:color w:val="231F20"/>
          <w:sz w:val="20"/>
          <w:szCs w:val="20"/>
          <w:lang w:eastAsia="hr-HR"/>
        </w:rPr>
        <w:t>na građevnoj čestici kampa i/ili unutar obuhvata zahvata u prostoru</w:t>
      </w:r>
    </w:p>
    <w:p w14:paraId="214B170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veličina građevine što uključuje minimalne i maksimalne vanjske gabarite nadzemnog i podzemnog dijela građevine te broj i vrsta etaža ako ih ima</w:t>
      </w:r>
    </w:p>
    <w:p w14:paraId="58BF001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8. uvjeti za oblikovanje građevine</w:t>
      </w:r>
    </w:p>
    <w:p w14:paraId="32746EE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9. uvjeti za uređenje građevne čestice, osobito zelenih i parkirališnih površina</w:t>
      </w:r>
    </w:p>
    <w:p w14:paraId="37CFF60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10. uvjeti za nesmetani pristup, kretanje, boravak i rad osoba smanjene pokretljivosti</w:t>
      </w:r>
    </w:p>
    <w:p w14:paraId="401F31E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11. način i uvjeti priključenja građevne čestice odnosno građevine na prometnu površinu i drugu infrastrukturu</w:t>
      </w:r>
    </w:p>
    <w:p w14:paraId="07CA5B5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12. mjere (način) sprječavanja nepovoljnih utjecaja na okoliš i prirodu</w:t>
      </w:r>
    </w:p>
    <w:p w14:paraId="791DD13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13. uvjeti krajobraznog uređenja prilikom zahvata većih prostornih cjelina kao što su igrališta za golf, kampovi, turističke zone i dr.</w:t>
      </w:r>
    </w:p>
    <w:p w14:paraId="07F0444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14. ostali uvjeti od utjecaja na zahvat u prostoru</w:t>
      </w:r>
    </w:p>
    <w:p w14:paraId="2778709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15. dijelovi složene građevine za koje se izdaju građevinske dozvole u slučaju etapnoga građenja i/ili dijelovi građevine za koje se izdaju građevinske dozvole u slučaju faznoga građenja građevine</w:t>
      </w:r>
    </w:p>
    <w:p w14:paraId="528378E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16. posebni uvjeti i uvjeti priključenja utvrđeni prema posebnim propisima</w:t>
      </w:r>
    </w:p>
    <w:p w14:paraId="18C1933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17. uvjeti važni za provedbu zahvata u prostoru kao što su obveza uklanjanja postojećih građevina, modularno-montažnih kućica (pokretne i </w:t>
      </w:r>
      <w:proofErr w:type="spellStart"/>
      <w:r w:rsidRPr="007E17BF">
        <w:rPr>
          <w:rFonts w:ascii="Times New Roman" w:eastAsia="Times New Roman" w:hAnsi="Times New Roman"/>
          <w:color w:val="231F20"/>
          <w:sz w:val="20"/>
          <w:szCs w:val="20"/>
          <w:bdr w:val="none" w:sz="0" w:space="0" w:color="auto" w:frame="1"/>
          <w:lang w:eastAsia="hr-HR"/>
        </w:rPr>
        <w:t>glamping</w:t>
      </w:r>
      <w:proofErr w:type="spellEnd"/>
      <w:r w:rsidRPr="007E17BF">
        <w:rPr>
          <w:rFonts w:ascii="Times New Roman" w:eastAsia="Times New Roman" w:hAnsi="Times New Roman"/>
          <w:color w:val="231F20"/>
          <w:sz w:val="20"/>
          <w:szCs w:val="20"/>
          <w:bdr w:val="none" w:sz="0" w:space="0" w:color="auto" w:frame="1"/>
          <w:lang w:eastAsia="hr-HR"/>
        </w:rPr>
        <w:t>), </w:t>
      </w:r>
      <w:r w:rsidRPr="007E17BF">
        <w:rPr>
          <w:rFonts w:ascii="Times New Roman" w:eastAsia="Times New Roman" w:hAnsi="Times New Roman"/>
          <w:color w:val="231F20"/>
          <w:sz w:val="20"/>
          <w:szCs w:val="20"/>
          <w:lang w:eastAsia="hr-HR"/>
        </w:rPr>
        <w:t>sanacija terena građevne čestice, obveza ispitivanja tla, kompenzacijski uvjeti, postupanje s viškom iskopa koji predstavlja mineralnu sirovinu, zbrinjavanje otpada nastalog izvođenjem zahvata i dr.</w:t>
      </w:r>
    </w:p>
    <w:p w14:paraId="5539EE1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Lokacijski uvjeti određuju se u skladu s propisima i aktima na temelju kojih se izdaje lokacijska dozvola, pravilima struke, a prilikom gradnje zgrada osiguravaju primjenu arhitektonske vrsnoće građenja prepoznavanjem duha i karakteristika mjesta, krajolika i ambijenta proizašlih iz autohtonih kulturno-povijesnih, graditeljskih i krajobraznih vrijednosti i identiteta prostora.</w:t>
      </w:r>
    </w:p>
    <w:p w14:paraId="2A6FAFE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Obuhvat zahvata u prostoru u kojemu se gradi građevina, ovisno o vrsti građevine, određuje se kao koridor odnosno površina katastarskih čestica i/ili njezinih dijelova određen sukladno pravilima struke tako da se osigura smještaj građevine odnosno zahvata u prostoru vodeći računa o optimalnom korištenju prostora.</w:t>
      </w:r>
    </w:p>
    <w:p w14:paraId="19BC6965"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Stranke u postupku izdavanja lokacijske dozvole</w:t>
      </w:r>
    </w:p>
    <w:p w14:paraId="6C2402C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175.</w:t>
      </w:r>
    </w:p>
    <w:p w14:paraId="3C8CA51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Stranka u postupku izdavanja lokacijske dozvole je podnositelj zahtjeva, vlasnik nekretnine za koju se izdaje lokacijska dozvola, koncesionar i nositelj drugih stvarnih prava na toj nekretnini, Republika Hrvatska zastupana po nadležnom državnom odvjetništvu za zahvate na području pomorskog dobra i koji s njim graniče, te vlasnik i nositelj drugih stvarnih prava na nekretnini koja neposredno graniči s nekretninom za koju se izdaje lokacijska dozvola.</w:t>
      </w:r>
    </w:p>
    <w:p w14:paraId="7AA6B17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Iznimno od stavka 1. ovoga članka, stranka u postupku izdavanja lokacijske dozvole za provedbu zahvata u prostoru koji je od interesa za Republiku Hrvatsku ili koju izdaje Ministarstvo su podnositelj zahtjeva, vlasnik nekretnine za koju se izdaje lokacijska dozvola, koncesionar ili zakupnik poljoprivrednog zemljišta u vlasništvu Republike Hrvatske ili jedinice lokalne samouprave i nositelj drugih stvarnih prava na toj nekretnini.</w:t>
      </w:r>
    </w:p>
    <w:p w14:paraId="67F3B01F" w14:textId="77777777" w:rsid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Prije izdavanja lokacijske dozvole upravno tijelo odnosno Ministarstvo dužno je strankama pružiti mogućnost uvida u spis predmeta radi izjašnjenja (u daljnjem tekstu: uvid u spis predmeta).</w:t>
      </w:r>
    </w:p>
    <w:p w14:paraId="3D8C857F" w14:textId="77777777" w:rsidR="00D2578D"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7DA41323" w14:textId="77777777" w:rsidR="00D2578D" w:rsidRPr="007E17BF"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0AB8799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Uvid u spis predmeta</w:t>
      </w:r>
    </w:p>
    <w:p w14:paraId="621D780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176.</w:t>
      </w:r>
    </w:p>
    <w:p w14:paraId="1F91E2F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Ako se lokacijska dozvola izdaje u postupku u kojem sudjeluje više od deset stranaka ili se lokacijska dozvola izdaje za zahvat u prostoru koji neposredno graniči s više od deset nekretnina ili ako se lokacijska dozvola izdaje za zahvat u prostoru na građevnoj čestici koja se formira od deset ili više nekretnina ili za zahvat u prostoru unutar obuhvata zahvata koji se sastoji od deset ili više nekretnina, stranke se radi uvida u spis predmeta pozivaju javnim pozivom koji se objavljuje na elektroničkoj oglasnoj ploči.</w:t>
      </w:r>
    </w:p>
    <w:p w14:paraId="3ABD937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Javni poziv objavljuje se najmanje deset dana prije dana koji je u pozivu određen za uvid, a smatra se dostavljenim istekom osmoga dana od dana objave.</w:t>
      </w:r>
    </w:p>
    <w:p w14:paraId="15D0409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Ako se lokacijska dozvola izdaje u postupku u kojem sudjeluje deset stranaka ili manje, poziv za uvid u spis predmeta dostavlja se:</w:t>
      </w:r>
    </w:p>
    <w:p w14:paraId="714A7EF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stranki koja u zemljišnoj knjizi ima upisan OIB i aktivan korisnički pretinac, u korisnički pretinac informacijskog sustava povezan na državnu informacijsku infrastrukturu najmanje osam dana prije dana koji je u pozivu određen za uvid</w:t>
      </w:r>
    </w:p>
    <w:p w14:paraId="51F6176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stranki koja u zemljišnoj knjizi ima upisan OIB, a nema aktivan korisnički pretinac, putem pošte osobnom dostavom na adresu iz službene evidencije OIB servisa najmanje osam dana prije dana koji je u pozivu određen za uvid</w:t>
      </w:r>
    </w:p>
    <w:p w14:paraId="68ECE1D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stranki koja u zemljišnoj knjizi nema upisan OIB, objavom na oglasnoj ploči na način propisan stavkom 1. ovoga članka.</w:t>
      </w:r>
    </w:p>
    <w:p w14:paraId="62A11F5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Stranka koja se ne odazove javnom pozivu odnosno pozivu, ne može zbog toga tražiti obnovu postupka izdavanja lokacijske dozvole.</w:t>
      </w:r>
    </w:p>
    <w:p w14:paraId="5A3C40D1"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Poziv za uvid u spis predmeta</w:t>
      </w:r>
    </w:p>
    <w:p w14:paraId="548F879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177.</w:t>
      </w:r>
    </w:p>
    <w:p w14:paraId="21507FE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Poziv za uvid u spis predmeta odnosno javni poziv sadrži:</w:t>
      </w:r>
    </w:p>
    <w:p w14:paraId="2847533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naziv upravnog tijela odnosno Ministarstva</w:t>
      </w:r>
    </w:p>
    <w:p w14:paraId="534FB1A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ime i adresu odnosno tvrtku podnositelja zahtjeva</w:t>
      </w:r>
    </w:p>
    <w:p w14:paraId="335F439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naznaku da se radi o postupku izdavanja lokacijske dozvole</w:t>
      </w:r>
    </w:p>
    <w:p w14:paraId="68B19FB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naziv, vrstu i lokaciju zahvata u prostoru za koji se izdaje lokacijska dozvola</w:t>
      </w:r>
    </w:p>
    <w:p w14:paraId="014A47B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mjesto i vrijeme na kojemu stranka može izvršiti uvid u spis predmeta i dati izjašnjenje</w:t>
      </w:r>
    </w:p>
    <w:p w14:paraId="19AD1AF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obavijest da se pozivu može odazvati osobno ili putem svojeg opunomoćenika</w:t>
      </w:r>
    </w:p>
    <w:p w14:paraId="20EFF1B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obavijest da se lokacijska dozvola može izdati i ako se stranka ne odazove pozivu.</w:t>
      </w:r>
    </w:p>
    <w:p w14:paraId="3017B34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Dokazivanje svojstva stranke</w:t>
      </w:r>
    </w:p>
    <w:p w14:paraId="1844C3A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178.</w:t>
      </w:r>
    </w:p>
    <w:p w14:paraId="2112C99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Osoba koja se odazove pozivu za uvid u spis predmeta dužna je dokazati da ima svojstvo stranke.</w:t>
      </w:r>
    </w:p>
    <w:p w14:paraId="68CCF8A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Osobi koja ne dokaže svojstvo stranke odbit će se zahtjev za uvid u spis predmeta rješenjem. Žalba protiv tog rješenja ne zadržava tijek postupka.</w:t>
      </w:r>
    </w:p>
    <w:p w14:paraId="1A6C808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Izjašnjavanje pisanim putem</w:t>
      </w:r>
    </w:p>
    <w:p w14:paraId="4F8C0A25"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179.</w:t>
      </w:r>
    </w:p>
    <w:p w14:paraId="4A6E096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Stranki koja se odazvala pozivu za uvid u spis, tijelo nadležno za izdavanje lokacijske dozvole može na njezin zahtjev odrediti rok od najviše osam dana u kojemu je pisanim putem dužna izjasniti se o namjeravanom zahvatu u prostoru.</w:t>
      </w:r>
    </w:p>
    <w:p w14:paraId="7A6AA33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Ako se stranka ne izjasni u roku iz stavka 1. ovoga članka, smatra se da joj je pružena mogućnost uvida u spis predmeta i da nema primjedbi.</w:t>
      </w:r>
    </w:p>
    <w:p w14:paraId="68040157"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Uvjeti za izdavanje lokacijske dozvole</w:t>
      </w:r>
    </w:p>
    <w:p w14:paraId="7CB465C1"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180.</w:t>
      </w:r>
    </w:p>
    <w:p w14:paraId="2FB0A6A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Lokacijska dozvola izdaje se nakon što je u provedenom postupku utvrđeno:</w:t>
      </w:r>
    </w:p>
    <w:p w14:paraId="26F74DE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da je uz zahtjev za izdavanje lokacijske dozvole priložena propisana dokumentacija</w:t>
      </w:r>
    </w:p>
    <w:p w14:paraId="787592C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da je idejni projekt izrađen u skladu s dokumentima prostornog uređenja i ovim Zakonom</w:t>
      </w:r>
    </w:p>
    <w:p w14:paraId="518DBF8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da su utvrđeni posebni uvjeti i uvjeti priključenja</w:t>
      </w:r>
    </w:p>
    <w:p w14:paraId="45F97E0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da je donesen urbanistički plan uređenja, ako se dozvola izdaje na području za koje je ovim Zakonom propisana obveza njegova donošenja</w:t>
      </w:r>
    </w:p>
    <w:p w14:paraId="0F64A02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da je vlasnik građevinskog zemljišta ispunio svoju dužnost iz članka 214. ovoga Zakona, ako takva dužnost postoji.</w:t>
      </w:r>
    </w:p>
    <w:p w14:paraId="2261725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Odredba stavka 1. točke 4. ovoga članka ne odnosi se na izdavanje lokacijske dozvole za:</w:t>
      </w:r>
    </w:p>
    <w:p w14:paraId="0F6CD3A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rekonstrukciju postojeće građevine</w:t>
      </w:r>
    </w:p>
    <w:p w14:paraId="5D00187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2. građenje nove građevine na mjestu ili u neposrednoj blizini mjesta prethodno uklonjene postojeće građevine unutar iste građevne čestice, kojom se bitno ne mijenja namjena, izgled, veličina i utjecaj na okoliš dotadašnje građevine</w:t>
      </w:r>
    </w:p>
    <w:p w14:paraId="67B7578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građenje nove zgrade koja ima pristup na postojeću javnu prometnu površinu te mogućnost rješavanja odvodnje otpadnih voda prema mjesnim prilikama određenim prostornim planom, ako se takvim građenjem ne sprečava opremanje drugog građevinskog zemljišta.</w:t>
      </w:r>
    </w:p>
    <w:p w14:paraId="7FA6E9F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Lokacijska dozvola za građenje nove zgrade izdaje se nakon što je u provedenom postupku utvrđeno da:</w:t>
      </w:r>
    </w:p>
    <w:p w14:paraId="416B24A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su ispunjeni uvjeti iz stavka 1. ovoga članka</w:t>
      </w:r>
    </w:p>
    <w:p w14:paraId="4669752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postoji mogućnost priključenja građevne čestice odnosno zgrade na prometnu površinu ili da je izdana građevinska dozvola za građenje prometne površine</w:t>
      </w:r>
    </w:p>
    <w:p w14:paraId="56BF4CC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je osigurano priključenje građevne čestice odnosno zgrade na javni sustav odvodnje otpadnih voda, ako prostornim planom nije propisana mogućnost priključenja na vlastiti sustav odvodnje i</w:t>
      </w:r>
    </w:p>
    <w:p w14:paraId="03F052D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je osigurano priključenje građevne čestice odnosno zgrade na električnu mrežu ili da ima autonomni sustav opskrbom električnom energijom, ako se radi o zgradi u kojoj je projektirano korištenje iste.</w:t>
      </w:r>
    </w:p>
    <w:p w14:paraId="35A5F97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Dostava lokacijske dozvole</w:t>
      </w:r>
    </w:p>
    <w:p w14:paraId="3B5F0B8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181.</w:t>
      </w:r>
    </w:p>
    <w:p w14:paraId="484A7C6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Lokacijska dozvola odnosno rješenje o odbijanju, odbacivanju ili obustavi postupka povodom zahtjeva za izdavanje lokacijske dozvole dostavlja se:</w:t>
      </w:r>
    </w:p>
    <w:p w14:paraId="6C93825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podnositelju zahtjeva u korisnički pretinac informacijskog sustava povezanog na državnu informacijsku infrastrukturu odnosno putem pošte ako podnositelj zahtjeva nema korisnički pretinac</w:t>
      </w:r>
    </w:p>
    <w:p w14:paraId="71FD08C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strankama koje su izvršile uvid u spis predmeta ili su se javile upravnom tijelu odnosno Ministarstvu odgovarajućom primjenom članka 176. ovoga Zakona</w:t>
      </w:r>
    </w:p>
    <w:p w14:paraId="134739E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strankama koje nisu izvršile uvid u spis predmeta i nisu se javile upravnom tijelu odnosno Ministarstvu objavom na elektroničkoj oglasnoj ploči u trajanju od osam dana.</w:t>
      </w:r>
    </w:p>
    <w:p w14:paraId="2E84100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Uz lokacijsku dozvolu, podnositelju zahtjeva dostavlja se projekt koji je sastavni dio akta u elektroničkom obliku na način iz stavka 1. točke 1. ovoga članka.</w:t>
      </w:r>
    </w:p>
    <w:p w14:paraId="1B67CB9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U slučaju dostave iz stavka 1. točke 3. ovoga članka, lokacijska dozvola odnosno rješenje o odbijanju, odbacivanju ili obustavi postupka izdavanja lokacijske dozvole smatraju se dostavljenim istekom osmoga dana od dana objave na elektroničkoj oglasnoj ploči.</w:t>
      </w:r>
    </w:p>
    <w:p w14:paraId="77FA1AA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Dostava elektroničkim putem u korisnički pretinac informacijskog sustava povezan na državnu informacijsku infrastrukturu smatra se obavljenom potvrdom primitka pismena, a najkasnije istekom osmog dana od dana kad je pismeno zabilježeno na poslužitelju za primanje poruka.</w:t>
      </w:r>
    </w:p>
    <w:p w14:paraId="50DE28E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O lokacijskoj dozvoli za zahvat koji je bio predmetom postupka procjene utjecaja na okoliš, postupka ocjene o potrebi procjene utjecaja na okoliš ili postupka ocjene o prihvatljivosti zahvata za ekološku mrežu prema posebnim propisima, informira se javnost i zainteresirana javnost objavom lokacijske dozvole na elektroničkoj oglasnoj ploči.</w:t>
      </w:r>
    </w:p>
    <w:p w14:paraId="75D304E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Javnost i zainteresirana javnost obavještava se putem elektroničke oglasne ploče za zahvat u prostoru koji se prema propisima kojima se uređuje gradnja ne smatra građenjem, a koji je bio predmetom postupka procjene utjecaja na okoliš, postupka ocjene o potrebi procjene utjecaja na okoliš ili postupka ocjene o prihvatljivosti zahvata za ekološku mrežu prema posebnim propisima o podnesenom zahtjevu za izdavanje lokacijske dozvole, sadržaju tog zahtjeva, podnesenim dokumentima uz taj zahtjev i o izdanoj lokacijskoj dozvoli.</w:t>
      </w:r>
    </w:p>
    <w:p w14:paraId="3B6FB82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Važenje lokacijske dozvole</w:t>
      </w:r>
    </w:p>
    <w:p w14:paraId="47F7BC67"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182.</w:t>
      </w:r>
    </w:p>
    <w:p w14:paraId="0603A34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Lokacijska dozvola prestaje važiti ako se u roku od četiri godine od dana pravomoćnosti lokacijske dozvole ne podnese zahtjev za izdavanje građevinske dozvole za najmanje jednu od faza ili etapa odnosno ako se ne pristupi provedbi zahvata u prostoru za koji se ne izdaje akt za građenje.</w:t>
      </w:r>
    </w:p>
    <w:p w14:paraId="549B5E7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Za zahvate u prostoru za koje lokacijsku dozvolu izdaje Ministarstvo rok iz stavka 1. ovoga članka je šest godina.</w:t>
      </w:r>
    </w:p>
    <w:p w14:paraId="6783D13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Lokacijska dozvola u skladu s kojom je izdana građevinska dozvola prestaje važiti s danom prestanka važenja građevinske dozvole odnosno građevinskih dozvola za sve faze odnosno etape.</w:t>
      </w:r>
    </w:p>
    <w:p w14:paraId="46FF4BC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Lokacijska dozvola za zahvat u prostoru koji se prema propisima o gradnji ne smatra građenjem i zahvat u prostoru iz članka 154. stavka 1. točke 1. ovoga Zakona, za koji je u roku iz stavka 1. ovoga članka sklopljen ugovor o koncesiji, važi do isteka roka trajanja koncesije.</w:t>
      </w:r>
    </w:p>
    <w:p w14:paraId="4B0C0995"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Izmjena i/ili dopuna akta za provedbu zahvata u prostoru</w:t>
      </w:r>
    </w:p>
    <w:p w14:paraId="27D87A9D"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183.</w:t>
      </w:r>
    </w:p>
    <w:p w14:paraId="36E4989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Izvršni odnosno pravomoćni akt za provedbu zahvata u prostoru može se po prijedlogu podnositelja zahtjeva izmijeniti, dopuniti i/ili poništiti.</w:t>
      </w:r>
    </w:p>
    <w:p w14:paraId="7ABE1A7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 slučaju podnošenja zahtjeva samo za promjenu osobe kojoj je izdan akt za provedbu zahvata u prostoru, izdat će se, bez odgode, izmjena tog akta kojom će se imenovati nova osoba.</w:t>
      </w:r>
    </w:p>
    <w:p w14:paraId="6A092F2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(3) Uz zahtjev iz stavka 2. ovoga članka prilaže se dokaz o pravnom interesu za podnošenje ovoga zahtjeva. Dokazom pravnog interesa smatra se isprava o rješavanju pravnih odnosa s osobom kojoj je prethodno izdan akt za provedbu tog zahvata u prostoru, osim u slučajevima kada takva promjena nije moguća prema odredbama posebnih propisa.</w:t>
      </w:r>
    </w:p>
    <w:p w14:paraId="7D61C2F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Izmjena i/ili dopuna akta za provedbu zahvata u prostoru donosi se u skladu s planom po kojem je osnovni akt izdan, ili važećim planom.</w:t>
      </w:r>
    </w:p>
    <w:p w14:paraId="2A80ECC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Iznimke u postupku izmjene i/ili dopune</w:t>
      </w:r>
    </w:p>
    <w:p w14:paraId="2F092627"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184.</w:t>
      </w:r>
    </w:p>
    <w:p w14:paraId="0D096A0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 postupku donošenja rješenja o izmjeni i/ili dopuni akta za provedbu zahvata u prostoru pribavljaju se samo oni posebni uvjeti i/ili uvjeti priključenja na koje izmjena i/ili dopuna ima utjecaja.</w:t>
      </w:r>
    </w:p>
    <w:p w14:paraId="3D36644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 postupku donošenja rješenja o izmjeni i/ili dopuni akta za provedbu zahvata u prostoru primjenjuje se članak 176. ovoga Zakona samo ako se izmjene i/ili dopune odnose na vanjsku veličinu građevine, veličinu i oblik građevne čestice ili smještaj građevine na građevnoj čestici.</w:t>
      </w:r>
    </w:p>
    <w:p w14:paraId="6AB2567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Promjena koordinata lomnih točaka</w:t>
      </w:r>
    </w:p>
    <w:p w14:paraId="56AC803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185.</w:t>
      </w:r>
    </w:p>
    <w:p w14:paraId="32C01F3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(1) Promjena koordinata lomnih točaka građevne čestice odnosno obuhvata zahvata u prostoru te jedne ili više građevina na toj čestici izrađenih u GML formatu, do koje dođe nakon izdavanja potvrde iz članka 204. ovoga Zakona zbog homogenizacije katastarskog plana ili drugih promjena u katastarskom </w:t>
      </w:r>
      <w:proofErr w:type="spellStart"/>
      <w:r w:rsidRPr="007E17BF">
        <w:rPr>
          <w:rFonts w:ascii="Times New Roman" w:eastAsia="Times New Roman" w:hAnsi="Times New Roman"/>
          <w:color w:val="231F20"/>
          <w:sz w:val="20"/>
          <w:szCs w:val="20"/>
          <w:lang w:eastAsia="hr-HR"/>
        </w:rPr>
        <w:t>operatu</w:t>
      </w:r>
      <w:proofErr w:type="spellEnd"/>
      <w:r w:rsidRPr="007E17BF">
        <w:rPr>
          <w:rFonts w:ascii="Times New Roman" w:eastAsia="Times New Roman" w:hAnsi="Times New Roman"/>
          <w:color w:val="231F20"/>
          <w:sz w:val="20"/>
          <w:szCs w:val="20"/>
          <w:lang w:eastAsia="hr-HR"/>
        </w:rPr>
        <w:t xml:space="preserve"> koje ne utječu na vlasništvo i druga stvarna prava, ne smatra se izmjenom lokacijskih uvjeta zbog koje je potrebno izmijeniti i/ili dopuniti akt za provedbu zahvata u prostoru.</w:t>
      </w:r>
    </w:p>
    <w:p w14:paraId="0F7A5B4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(2) Činjenicu da promjene u katastarskom </w:t>
      </w:r>
      <w:proofErr w:type="spellStart"/>
      <w:r w:rsidRPr="007E17BF">
        <w:rPr>
          <w:rFonts w:ascii="Times New Roman" w:eastAsia="Times New Roman" w:hAnsi="Times New Roman"/>
          <w:color w:val="231F20"/>
          <w:sz w:val="20"/>
          <w:szCs w:val="20"/>
          <w:lang w:eastAsia="hr-HR"/>
        </w:rPr>
        <w:t>operatu</w:t>
      </w:r>
      <w:proofErr w:type="spellEnd"/>
      <w:r w:rsidRPr="007E17BF">
        <w:rPr>
          <w:rFonts w:ascii="Times New Roman" w:eastAsia="Times New Roman" w:hAnsi="Times New Roman"/>
          <w:color w:val="231F20"/>
          <w:sz w:val="20"/>
          <w:szCs w:val="20"/>
          <w:lang w:eastAsia="hr-HR"/>
        </w:rPr>
        <w:t xml:space="preserve"> iz stavka 1. ovoga članka ne utječu na vlasništvo i druga stvarna prava podnositelj zahtjeva dokazuje potvrdom ovlaštenog inženjera geodezije koji je izradio GML datoteku.</w:t>
      </w:r>
    </w:p>
    <w:p w14:paraId="640C3B2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U slučaju promjene koordinata lomnih točaka iz stavka 1. ovoga članka podnositelj zahtjeva dostavlja potvrdu iz stavka 2. ovoga članka te novu GML datoteku upravnom tijelu odnosno Ministarstvu radi izmjene GML datoteke u informacijskom sustavu.</w:t>
      </w:r>
    </w:p>
    <w:p w14:paraId="4447611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Provedba zahvata u prostoru koji nisu građenje</w:t>
      </w:r>
    </w:p>
    <w:p w14:paraId="0164F2E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186.</w:t>
      </w:r>
    </w:p>
    <w:p w14:paraId="18C7FE5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Provedbi zahvata u prostoru koji se prema posebnim propisima smatraju rudarskim objektima ili postrojenjima pristupa se na temelju akta određenog tim propisima, a koji se akt izdaje na temelju pravomoćne lokacijske dozvole.</w:t>
      </w:r>
    </w:p>
    <w:p w14:paraId="4B75D2D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Provedbi zahvata u prostoru koji se prema posebnim propisima kojima se uređuje gradnja ne smatraju građenjem, određenim pravilnikom iz članka 154. stavka 2. ovoga Zakona, pristupa se na temelju pravomoćne lokacijske dozvole te se zahvat provodi u skladu s tom dozvolom.</w:t>
      </w:r>
    </w:p>
    <w:p w14:paraId="02271330" w14:textId="77777777" w:rsid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Na vlastitu odgovornost i rizik može se pristupiti provedbi zahvata u prostoru iz stavka 2. ovoga članka na temelju izvršne lokacijske dozvole.</w:t>
      </w:r>
    </w:p>
    <w:p w14:paraId="1823F979" w14:textId="77777777" w:rsidR="00D2578D" w:rsidRPr="007E17BF"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3017B85C" w14:textId="7C93214B" w:rsidR="007E17BF" w:rsidRPr="007E17BF" w:rsidRDefault="007E17BF" w:rsidP="00D2578D">
      <w:pPr>
        <w:pStyle w:val="Naslov4"/>
        <w:rPr>
          <w:lang w:eastAsia="hr-HR"/>
        </w:rPr>
      </w:pPr>
      <w:bookmarkStart w:id="25" w:name="_Toc219166942"/>
      <w:r w:rsidRPr="007E17BF">
        <w:rPr>
          <w:lang w:eastAsia="hr-HR"/>
        </w:rPr>
        <w:t>GLAVA IV.</w:t>
      </w:r>
      <w:r w:rsidR="00D2578D">
        <w:rPr>
          <w:lang w:eastAsia="hr-HR"/>
        </w:rPr>
        <w:t xml:space="preserve">   </w:t>
      </w:r>
      <w:r w:rsidRPr="007E17BF">
        <w:rPr>
          <w:lang w:eastAsia="hr-HR"/>
        </w:rPr>
        <w:t>DOZVOLA ZA UPORABU ZAHVATA U PROSTORU KOJI NISU GRAĐENJE</w:t>
      </w:r>
      <w:bookmarkEnd w:id="25"/>
    </w:p>
    <w:p w14:paraId="1908637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Općenito</w:t>
      </w:r>
    </w:p>
    <w:p w14:paraId="71DB8B2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187.</w:t>
      </w:r>
    </w:p>
    <w:p w14:paraId="0E75BA8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Zahvati u prostoru koji se prema posebnim propisima kojima se uređuje gradnja ne smatraju građenjem odobravaju se dozvolom za uporabu zahvata u prostoru.</w:t>
      </w:r>
    </w:p>
    <w:p w14:paraId="5582580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Zahvat u prostoru za koji je izdana dozvola iz stavka 1. ovoga članka može se na temelju te dozvole početi koristiti za određenu namjenu te se za obavljanje djelatnosti za zahvat može izdati rješenje prema posebnom zakonu.</w:t>
      </w:r>
    </w:p>
    <w:p w14:paraId="04774C0D"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Zahtjev za izdavanje dozvole za uporabu zahvata</w:t>
      </w:r>
    </w:p>
    <w:p w14:paraId="6FAD43D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188.</w:t>
      </w:r>
    </w:p>
    <w:p w14:paraId="6510AD5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Dozvola za uporabu zahvata u prostoru donosi se po zahtjevu podnositelja zahtjeva uz koji se prilaže:</w:t>
      </w:r>
    </w:p>
    <w:p w14:paraId="4BD7478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dokaz pravnog interesa</w:t>
      </w:r>
    </w:p>
    <w:p w14:paraId="1CDF430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lokacijska dozvola</w:t>
      </w:r>
    </w:p>
    <w:p w14:paraId="3C1C617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geodetska snimka izvedenog stanja odnosno snimka postojećeg stanja.</w:t>
      </w:r>
    </w:p>
    <w:p w14:paraId="27D3722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Izdavanje dozvole za uporabu zahvata</w:t>
      </w:r>
    </w:p>
    <w:p w14:paraId="75CF729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189.</w:t>
      </w:r>
    </w:p>
    <w:p w14:paraId="326D34E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Dozvola za uporabu zahvata u prostoru izdaje se nakon što je u provedenom postupku utvrđeno da:</w:t>
      </w:r>
    </w:p>
    <w:p w14:paraId="22932E3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je podnositelj zahtjeva uz zahtjev priložio propisanu dokumentaciju</w:t>
      </w:r>
    </w:p>
    <w:p w14:paraId="036041C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2. je zahvat u prostoru izveden u skladu s lokacijskom dozvolom</w:t>
      </w:r>
    </w:p>
    <w:p w14:paraId="1EC854A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su izdane potvrde iz članka 190. ovoga Zakona.</w:t>
      </w:r>
    </w:p>
    <w:p w14:paraId="06651B1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Očevid i izdavanje potvrde</w:t>
      </w:r>
    </w:p>
    <w:p w14:paraId="6FCDC5B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190.</w:t>
      </w:r>
    </w:p>
    <w:p w14:paraId="4427787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 svrhu utvrđivanja da je zahvat u prostoru izveden u skladu s lokacijskom dozvolom, upravno tijelo odnosno Ministarstvo obavlja očevid na koji radi izdavanja potvrde da su ispunjeni uvjeti propisani posebnim propisima poziva javnopravna tijela koja prema posebnim propisima u postupku izdavanja lokacijske dozvole utvrđuju posebne uvjete i/ili uvjete priključenja, kao i javnopravno tijelo koje je provelo postupak procjene utjecaja zahvata na okoliš, postupak ocjene o potrebi procjene utjecaja na okoliš ili postupak ocjene prihvatljivosti zahvata za ekološku mrežu, ako je on proveden.</w:t>
      </w:r>
    </w:p>
    <w:p w14:paraId="3946406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Javnopravno tijelo daje potvrdu da su ispunjeni uvjeti propisani posebnim propisima usmeno na zapisnik prilikom očevida, a ako to nije moguće, upravno tijelo odnosno Ministarstvo određuje rok od 15 dana za izdavanje potvrde pisanim putem odnosno za donošenje rješenja o odbijanje izdavanja potvrde.</w:t>
      </w:r>
    </w:p>
    <w:p w14:paraId="5722A0D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Rješenje o odbijanju izdavanja potvrde javnopravno tijelo dostavlja upravnom tijelu odnosno Ministarstvu i podnositelju zahtjeva koji ima pravo žalbe odnosno pokretanja upravnog spora.</w:t>
      </w:r>
    </w:p>
    <w:p w14:paraId="6680382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Smatra se da zahvat u prostoru ispunjava uvjete propisane posebnim propisima te da je potvrda izdana ako se javnopravno tijelo ne odazove pozivu za očevid odnosno ako u roku iz stavka 2. ovoga članka upravnom tijelu odnosno Ministarstvu ne dostavi potvrdu ili rješenje kojim se odbija izdavanje potvrde.</w:t>
      </w:r>
    </w:p>
    <w:p w14:paraId="5FF651C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Pravni lijekovi i troškovi postupka</w:t>
      </w:r>
    </w:p>
    <w:p w14:paraId="07AB5E6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191.</w:t>
      </w:r>
    </w:p>
    <w:p w14:paraId="5451C14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Dokaz o izjavljivanju žalbe odnosno pokretanju upravnog spora protiv rješenja kojim se odbija izdavanje potvrde podnositelj zahtjeva je u roku od deset dana od dana izjavljivanja žalbe odnosno pokretanja upravnog spora dužan dostaviti upravnom tijelu odnosno Ministarstvu koje u tom slučaju postupak izdavanja dozvole za uporabu zahvata u prostoru prekida do pravomoćnosti odluke o žalbi odnosno tužbi.</w:t>
      </w:r>
    </w:p>
    <w:p w14:paraId="5F719B0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Tijelo nadležno za odlučivanje o žalbi dužno je upravnom tijelu odnosno Ministarstvu radi znanja dostaviti odluku o žalbi protiv rješenja o odbijanju izdavanja potvrde.</w:t>
      </w:r>
    </w:p>
    <w:p w14:paraId="24558FF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Ako podnositelj zahtjeva ne postupi u skladu sa stavkom 1. ovoga članka ili protiv rješenja o odbijanju izdavanja potvrde ne izjavi žalbu odnosno ne pokrene upravni spor, zahtjev za izdavanje dozvole za uporabu zahvata u prostoru se odbija.</w:t>
      </w:r>
    </w:p>
    <w:p w14:paraId="018105E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Ako se očevid iz članka 190. stavka 1. ovoga Zakona obavlja izvan mjesta u kojem se nalazi sjedište ili ispostava tijela graditeljstva, javnopravnog tijela odnosno adresa druge osobe koja sudjeluje na očevidu, podnositelj zahtjeva dužan je nadoknaditi tijelu graditeljstva, javnopravnom tijelu odnosno toj osobi putne troškove i dnevnice predstavnika koji su bili na očevidu u visini određenoj posebnim propisima.</w:t>
      </w:r>
    </w:p>
    <w:p w14:paraId="2FB968EF" w14:textId="77777777" w:rsidR="00D2578D" w:rsidRDefault="00D2578D"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4DCCE6A1" w14:textId="313A8ACD" w:rsidR="007E17BF" w:rsidRPr="007E17BF" w:rsidRDefault="007E17BF" w:rsidP="00D2578D">
      <w:pPr>
        <w:pStyle w:val="Naslov4"/>
        <w:rPr>
          <w:lang w:eastAsia="hr-HR"/>
        </w:rPr>
      </w:pPr>
      <w:bookmarkStart w:id="26" w:name="_Toc219166943"/>
      <w:r w:rsidRPr="007E17BF">
        <w:rPr>
          <w:lang w:eastAsia="hr-HR"/>
        </w:rPr>
        <w:t>GLAVA V.</w:t>
      </w:r>
      <w:r w:rsidR="00D2578D">
        <w:rPr>
          <w:lang w:eastAsia="hr-HR"/>
        </w:rPr>
        <w:t xml:space="preserve">   </w:t>
      </w:r>
      <w:r w:rsidRPr="007E17BF">
        <w:rPr>
          <w:lang w:eastAsia="hr-HR"/>
        </w:rPr>
        <w:t>DOZVOLA ZA PROMJENU NAMJENE I UPORABU GRAĐEVINE</w:t>
      </w:r>
      <w:bookmarkEnd w:id="26"/>
    </w:p>
    <w:p w14:paraId="48B89BA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Općenito</w:t>
      </w:r>
    </w:p>
    <w:p w14:paraId="6D387A4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192.</w:t>
      </w:r>
    </w:p>
    <w:p w14:paraId="2AB81ED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Promjena namjene postojeće građevine i/ili drugog lokacijskog uvjeta odnosno njezine samostalne uporabne cjeline u čiju svrhu nije potrebno izvođenje građevinskih radova za koje je potrebna građevinska dozvola odobrava se dozvolom za promjenu namjene i uporabu građevine.</w:t>
      </w:r>
    </w:p>
    <w:p w14:paraId="7483A2D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Dozvola iz stavka 1. ovoga članka ne može se izdati za promjenu oblika ili veličine građevne čestice odnosno obuhvata zahvata u prostoru.</w:t>
      </w:r>
    </w:p>
    <w:p w14:paraId="790A637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Postojeća građevina odnosno njezina samostalna uporabna cjelina za koju je izdana dozvola iz stavka 1. ovoga članka može se na temelju te dozvole početi koristiti za novu namjenu te se za obavljanje djelatnosti u istoj građevini može izdati rješenje prema posebnom zakonu.</w:t>
      </w:r>
    </w:p>
    <w:p w14:paraId="1E98003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Zahtjev za izdavanje dozvole za promjenu namjene i uporabu građevine</w:t>
      </w:r>
    </w:p>
    <w:p w14:paraId="484DFCCD"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193.</w:t>
      </w:r>
    </w:p>
    <w:p w14:paraId="72E819B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Dozvola za promjenu namjene i uporabu građevine donosi se po zahtjevu vlasnika postojeće građevine odnosno njezine samostalne uporabne cjeline uz koji se prilaže:</w:t>
      </w:r>
    </w:p>
    <w:p w14:paraId="4D305C9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dokaz vlasništva građevine odnosno njezine samostalne uporabne cjeline</w:t>
      </w:r>
    </w:p>
    <w:p w14:paraId="535E2E6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dokaz da se radi o postojećoj građevini, uključujući glavni projekt u skladu s kojim je izgrađena, snimku izvedenog stanja odnosno snimku postojećeg stanja</w:t>
      </w:r>
    </w:p>
    <w:p w14:paraId="5F2816A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akt za uporabu građevine odnosno drugi dokaz da se građevina može koristiti</w:t>
      </w:r>
    </w:p>
    <w:p w14:paraId="1FFA566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4. suglasnost nadležnog tijela, ako se traži promjena namjene nepokretnog kulturnog dobra upisanog u Registar kulturnih dobara Republike Hrvatske ili njegova dijela i</w:t>
      </w:r>
    </w:p>
    <w:p w14:paraId="61D123F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rješenje o prihvatljivosti zahvata za okoliš ako se radi o zahvatu u prostoru za koji se prema posebnim propisima provodi postupak procjene utjecaja zahvata na okoliš i/ili ocjene prihvatljivosti zahvata za ekološku mrežu.</w:t>
      </w:r>
    </w:p>
    <w:p w14:paraId="2F5E0C0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Izdavanje dozvole za promjenu namjene i uporabu građevine</w:t>
      </w:r>
    </w:p>
    <w:p w14:paraId="45FF6891"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194.</w:t>
      </w:r>
    </w:p>
    <w:p w14:paraId="725B533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Dozvola za promjenu namjene i uporabu građevine izdaje se ako je podnositelj zahtjeva uz zahtjev priložio propisanu dokumentaciju te ako se u postupku utvrdi da je nova namjena građevine odnosno njezine samostalne uporabne cjeline i/ili lokacijski uvjet koji se namjeravaju promijeniti u skladu s prostornim planom i da građevina odnosno njezina samostalna uporabna cjelina ispunjava uvjete propisane posebnim propisima za novu namjenu i/ili drugi lokacijski uvjet.</w:t>
      </w:r>
    </w:p>
    <w:p w14:paraId="349495A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Dozvola za promjenu namjene i uporabu građevine za koju se promjenu namjene prema posebnom propisu provodi postupak ocjene odnosno procjene utjecaja zahvata na okoliš ili postupak ocjene prihvatljivosti zahvata za ekološku mrežu izdaje se ako su ispunjeni uvjeti iz stavka 1. ovoga članka i ako javnopravno tijelo koje je provelo taj postupak izda potvrdu da je promjena namjene u skladu s rješenjem donesenim u tom postupku.</w:t>
      </w:r>
    </w:p>
    <w:p w14:paraId="433E5A3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Stranke u postupku izdavanja dozvole za promjenu namjene građevine</w:t>
      </w:r>
    </w:p>
    <w:p w14:paraId="4A1810C7"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195.</w:t>
      </w:r>
    </w:p>
    <w:p w14:paraId="1848747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Stranke u postupku izdavanja dozvole za promjenu namjene građevine su podnositelj zahtjeva, vlasnik nekretnine za koju se izdaje ta dozvola i nositelj drugih stvarnih prava na toj nekretnini.</w:t>
      </w:r>
    </w:p>
    <w:p w14:paraId="2EA9C337"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Očevid</w:t>
      </w:r>
    </w:p>
    <w:p w14:paraId="41B2ECB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196.</w:t>
      </w:r>
    </w:p>
    <w:p w14:paraId="0830439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 svrhu utvrđivanja ispunjava li građevina odnosno njezina samostalna uporabna cjelina uvjete propisane posebnim propisima za novu namjenu i/ili novi lokacijski uvjet, upravno tijelo odnosno Ministarstvo obavlja očevid na koji radi izdavanja potvrde s tim u vezi (u daljnjem tekstu: potvrda) poziva javnopravna tijela koja, prema posebnim propisima, u postupku izdavanja lokacijske dozvole utvrđuju posebne uvjete i/ili uvjete priključenja te javnopravno tijelo koje je provelo postupak procjene utjecaja zahvata na okoliš, postupak ocjene o potrebi procjene utjecaja na okoliš ili postupak ocjene prihvatljivosti zahvata za ekološku mrežu, ako je on proveden.</w:t>
      </w:r>
    </w:p>
    <w:p w14:paraId="3E9D84D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Potvrdu javnopravno tijelo daje usmeno na zapisnik prilikom očevida, a ako to nije moguće, upravno tijelo odnosno Ministarstvo određuje rok od 15 dana za izdavanje potvrde pisanim putem odnosno za odbijanje izdavanja iste.</w:t>
      </w:r>
    </w:p>
    <w:p w14:paraId="3BFD300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Rješenje o odbijanju izdavanja potvrde javnopravno tijelo dostavlja upravnom tijelu odnosno Ministarstvu i podnositelju zahtjeva koji na istu ima pravo žalbe odnosno pokretanja upravnog spora.</w:t>
      </w:r>
    </w:p>
    <w:p w14:paraId="7B2837C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Smatra se da građevina odnosno samostalna uporabna cjelina ispunjava uvjete propisane posebnim propisima za novu namjenu te da je potvrda izdana ako se javnopravno tijelo ne odazove pozivu za očevid odnosno ako u roku iz stavka 2. ovoga članka upravnom tijelu odnosno Ministarstvu ne dostavi potvrdu ili rješenje kojim se odbija izdavanje iste.</w:t>
      </w:r>
    </w:p>
    <w:p w14:paraId="50F1F40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Pravni lijekovi</w:t>
      </w:r>
    </w:p>
    <w:p w14:paraId="6D2BF69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197.</w:t>
      </w:r>
    </w:p>
    <w:p w14:paraId="4A9F688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Dokaz o izjavljivanju žalbe odnosno pokretanju upravnog spora protiv rješenja kojim se odbija izdavanje potvrde podnositelj zahtjeva je u roku od deset dana od dana izjavljivanja žalbe odnosno pokretanja upravnog spora dužan dostaviti upravnom tijelu odnosno Ministarstvu koje u tom slučaju postupak izdavanja dozvole za promjenu namjene i uporabu građevine prekida do donošenja odluke o žalbi odnosno tužbi.</w:t>
      </w:r>
    </w:p>
    <w:p w14:paraId="6079D81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Tijelo nadležno za odlučivanje o žalbi dužno je upravnom tijelu odnosno Ministarstvu radi znanja dostaviti odluku o žalbi protiv rješenja o odbijanju izdavanja potvrde.</w:t>
      </w:r>
    </w:p>
    <w:p w14:paraId="3D63A40D" w14:textId="77777777" w:rsid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Ako podnositelj zahtjeva ne postupi u skladu sa stavkom 1. ovoga članka ili protiv rješenja o odbijanju izdavanja potvrde ne izjavi žalbu odnosno ne pokrene upravni spor, zahtjev za izdavanje dozvole za promjenu namjene i uporabu građevine se odbija.</w:t>
      </w:r>
    </w:p>
    <w:p w14:paraId="489E1D32" w14:textId="77777777" w:rsidR="00D2578D"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5B19DD7F" w14:textId="77777777" w:rsidR="00D2578D"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36286D86" w14:textId="77777777" w:rsidR="00D2578D"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0A348FE8" w14:textId="77777777" w:rsidR="00D2578D" w:rsidRPr="007E17BF" w:rsidRDefault="00D2578D"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152A55BC" w14:textId="77777777" w:rsidR="00D2578D" w:rsidRDefault="00D2578D"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32995B51" w14:textId="1C5471E7" w:rsidR="007E17BF" w:rsidRPr="007E17BF" w:rsidRDefault="007E17BF" w:rsidP="00D2578D">
      <w:pPr>
        <w:pStyle w:val="Naslov4"/>
        <w:rPr>
          <w:lang w:eastAsia="hr-HR"/>
        </w:rPr>
      </w:pPr>
      <w:bookmarkStart w:id="27" w:name="_Toc219166944"/>
      <w:r w:rsidRPr="007E17BF">
        <w:rPr>
          <w:lang w:eastAsia="hr-HR"/>
        </w:rPr>
        <w:lastRenderedPageBreak/>
        <w:t>GLAVA VI.</w:t>
      </w:r>
      <w:r w:rsidR="00D2578D">
        <w:rPr>
          <w:lang w:eastAsia="hr-HR"/>
        </w:rPr>
        <w:t xml:space="preserve">   </w:t>
      </w:r>
      <w:r w:rsidRPr="007E17BF">
        <w:rPr>
          <w:lang w:eastAsia="hr-HR"/>
        </w:rPr>
        <w:t>RJEŠENJE O UTVRĐIVANJU GRAĐEVNE ČESTICE I ZEMLJIŠTA NUŽNOG ZA REDOVITU UPORABU GRAĐEVINE</w:t>
      </w:r>
      <w:bookmarkEnd w:id="27"/>
    </w:p>
    <w:p w14:paraId="40510F0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Općenito</w:t>
      </w:r>
    </w:p>
    <w:p w14:paraId="00BAB99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198.</w:t>
      </w:r>
    </w:p>
    <w:p w14:paraId="166EB03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Ako za postojeću građevinu građevinskom dozvolom ili drugim aktom za provedbu zahvata u prostoru nije utvrđena građevna čestica ili zemljište nužno za redovitu uporabu građevine, kao i ako je obveza utvrđivanja tog zemljišta ili građevne čestice propisana posebnim zakonom ili kad vlasnik građevine u skladu s prostornim planom želi promijeniti oblik i veličinu građevne čestice na kojoj je postojeća građevina, parcelacija građevinskog zemljišta provodi se u skladu s rješenjem o utvrđivanju građevne čestice ili s rješenjem o utvrđivanju zemljišta nužnog za redovitu uporabu građevine.</w:t>
      </w:r>
    </w:p>
    <w:p w14:paraId="2F6B306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Smatra se da za postojeću građevinu nije utvrđena građevna čestica:</w:t>
      </w:r>
    </w:p>
    <w:p w14:paraId="3E2DDA5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ako građevinskom dozvolom ili drugim aktom za provedbu zahvata u prostoru nije utvrđen oblik i veličina građevne čestice</w:t>
      </w:r>
    </w:p>
    <w:p w14:paraId="001F27A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ako su na istoj katastarskoj čestici izgrađene dvije ili više postojećih građevina koje građevinski, funkcionalno ili tehničko-tehnološki nisu cjelina</w:t>
      </w:r>
    </w:p>
    <w:p w14:paraId="4640BED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ako je postojeća građevina izgrađena na dvije ili više katastarskih čestica</w:t>
      </w:r>
    </w:p>
    <w:p w14:paraId="3CE6B03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ako se radi o zgradi ozakonjenoj sukladno posebnom zakonu za koju nije utvrđena građevna čestica, a vlasnik zgrade je ujedno i vlasnik okolnog zemljišta ili ima suglasnost vlasnika okolnog zemljišta potrebnog za utvrđivanje građevne čestice.</w:t>
      </w:r>
    </w:p>
    <w:p w14:paraId="7902782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Smatra se da nije utvrđeno zemljište nužno za redovitu uporabu građevine:</w:t>
      </w:r>
    </w:p>
    <w:p w14:paraId="6EC96CE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ako je postojeća katastarska čestica, na kojoj je izgrađena građevina, takva da se ne može smatrati zemljištem nužnim za redovitu uporabu te građevine</w:t>
      </w:r>
    </w:p>
    <w:p w14:paraId="4062CA6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ako se radi o zgradi ozakonjenoj sukladno posebnom zakonu za koju nije utvrđena građevna čestica, a vlasnik zgrade nije ujedno i vlasnik okolnog zemljišta niti ima suglasnost vlasnika okolnog zemljišta potrebnog za utvrđivanje građevne čestice</w:t>
      </w:r>
    </w:p>
    <w:p w14:paraId="28FCBDF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ako je tako određeno posebnim zakonom kojim se utvrđuje neprocijenjeno građevinsko zemljište.</w:t>
      </w:r>
    </w:p>
    <w:p w14:paraId="030FBA8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Zahtjev za donošenje rješenja o utvrđivanju građevne čestice</w:t>
      </w:r>
    </w:p>
    <w:p w14:paraId="0D7420D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199.</w:t>
      </w:r>
    </w:p>
    <w:p w14:paraId="3B1DAB3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Zahtjevu za donošenje rješenja o utvrđivanju građevne čestice prilaže se prijedlog oblika i veličine građevne čestice na katastarskom planu, GML datoteka građevne čestice i dokaz da je građevina za koju se utvrđuje građevna čestica postojeća te građevinska dozvola s njezinim grafičkim dijelom iz kojeg se može utvrditi je li za postojeću građevinu građevna čestica utvrđena u skladu s građevinskom dozvolom.</w:t>
      </w:r>
    </w:p>
    <w:p w14:paraId="7C3EEB5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Rješenje o utvrđivanju građevne čestice donosi se po zahtjevu vlasnika zemljišta ili vlasnika postojeće građevine ili druge osobe koja za to ima pravni interes.</w:t>
      </w:r>
    </w:p>
    <w:p w14:paraId="14D6906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Rješenje o utvrđivanju građevne čestice nema pravnih učinaka na vlasništvo i druga stvarna prava na nekretnini za koju je izdano.</w:t>
      </w:r>
    </w:p>
    <w:p w14:paraId="066F1471"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Zahtjev za donošenje rješenja o utvrđivanju zemljišta nužnog za redovitu uporabu građevine</w:t>
      </w:r>
    </w:p>
    <w:p w14:paraId="6E6FF60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200.</w:t>
      </w:r>
    </w:p>
    <w:p w14:paraId="583E9FF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Zahtjevu za donošenje rješenja o utvrđivanju zemljišta nužnog za redovitu uporabu građevine prilaže se prijedlog oblika i veličine zemljišta nužnog za redovitu uporabu građevine na katastarskom planu, dokaz da je građevina za koju se utvrđuje zemljište nužno za redovitu uporabu građevine postojeća i GML datoteka zemljišta nužnog za redovitu uporabu građevine.</w:t>
      </w:r>
    </w:p>
    <w:p w14:paraId="758AD74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Rješenje o utvrđivanju zemljišta nužnog za redovitu uporabu građevine donosi se po zahtjevu vlasnika zemljišta ili vlasnika postojeće građevine ili druge osobe koja za to ima pravni interes.</w:t>
      </w:r>
    </w:p>
    <w:p w14:paraId="6A72EE1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Rješenje o utvrđivanju zemljišta nužnog za redovitu uporabu građevine nema pravnih učinaka na vlasništvo i druga stvarna prava na nekretnini za koju je izdano.</w:t>
      </w:r>
    </w:p>
    <w:p w14:paraId="5624632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Promjena oblika i veličine građevne čestice</w:t>
      </w:r>
    </w:p>
    <w:p w14:paraId="4CFDEDD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201.</w:t>
      </w:r>
    </w:p>
    <w:p w14:paraId="449972C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Građevnu česticu za građevine za koje je građevinskom dozvolom utvrđen oblik i veličina građevne čestice moguće je promijeniti u skladu s prostornim planom.</w:t>
      </w:r>
    </w:p>
    <w:p w14:paraId="4DD4D57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Za ostale građevine, oblik i veličina građevne čestice određuje se u skladu s prostornim planom, a iznimno ako to nije moguće, u skladu s pravilima struke, vodeći računa da se građevna čestica utvrdi tako da oblikom i veličinom omogućava redovitu uporabu građevine.</w:t>
      </w:r>
    </w:p>
    <w:p w14:paraId="790E37A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(3) Kada vlasnik građevine u skladu s prostornim planom želi promijeniti oblik i veličinu građevne čestice na kojoj je postojeća zgrada, građevna čestica određuje se u skladu s prostornim planom, uz uvjet da se ne može smanjiti njezina površina i odrediti oblik kojim se narušava slika naselja i kvaliteta okolnog izgrađenog prostora.</w:t>
      </w:r>
    </w:p>
    <w:p w14:paraId="31790FE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Iznimno od stavka 1. ovoga članka, građevna čestica zgrade koja ima više samostalnih uporabnih cjelina kao što su stanovi, poslovni prostori, garaže i sl., a koja je planirana, projektirana i/ili izgrađena tako da s više svojih strana graniči s površinom javne namjene, određuje se kao zemljište koje je ispod te zgrade.</w:t>
      </w:r>
    </w:p>
    <w:p w14:paraId="0C64DB6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Rješenjem o utvrđivanju građevne čestice nije dozvoljeno mijenjati granice utvrđene susjedne građevne čestice.</w:t>
      </w:r>
    </w:p>
    <w:p w14:paraId="0950E17F" w14:textId="77777777" w:rsidR="00D2578D" w:rsidRDefault="00D2578D"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1442C6C2" w14:textId="38CFAB3D" w:rsidR="007E17BF" w:rsidRPr="007E17BF" w:rsidRDefault="007E17BF" w:rsidP="00D2578D">
      <w:pPr>
        <w:pStyle w:val="Naslov4"/>
        <w:rPr>
          <w:lang w:eastAsia="hr-HR"/>
        </w:rPr>
      </w:pPr>
      <w:bookmarkStart w:id="28" w:name="_Toc219166945"/>
      <w:r w:rsidRPr="007E17BF">
        <w:rPr>
          <w:lang w:eastAsia="hr-HR"/>
        </w:rPr>
        <w:t>GLAVA VII.</w:t>
      </w:r>
      <w:r w:rsidR="00D2578D">
        <w:rPr>
          <w:lang w:eastAsia="hr-HR"/>
        </w:rPr>
        <w:t xml:space="preserve">   </w:t>
      </w:r>
      <w:r w:rsidRPr="007E17BF">
        <w:rPr>
          <w:lang w:eastAsia="hr-HR"/>
        </w:rPr>
        <w:t>PARCELACIJA GRAĐEVINSKOG ZEMLJIŠTA</w:t>
      </w:r>
      <w:bookmarkEnd w:id="28"/>
    </w:p>
    <w:p w14:paraId="60CFB201"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Uvjeti parcelacije</w:t>
      </w:r>
    </w:p>
    <w:p w14:paraId="1AECACAD"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202.</w:t>
      </w:r>
    </w:p>
    <w:p w14:paraId="04A93A4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Parcelacija građevinskog zemljišta može se provoditi samo u skladu s:</w:t>
      </w:r>
    </w:p>
    <w:p w14:paraId="6B2E3A1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lokacijskom dozvolom, urbanističkim ili infrastrukturnim projektom</w:t>
      </w:r>
    </w:p>
    <w:p w14:paraId="6777854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rješenjem o utvrđivanju građevne čestice i rješenjem o utvrđivanju zemljišta nužnog za redovitu uporabu građevine</w:t>
      </w:r>
    </w:p>
    <w:p w14:paraId="6F41F26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građevinskom dozvolom odnosno drugim aktom na temelju kojega je izgrađena građevina</w:t>
      </w:r>
    </w:p>
    <w:p w14:paraId="4FFD36E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prostornim planom koji u grafičkom dijelu propisuje oblik i veličinu građevne čestice</w:t>
      </w:r>
    </w:p>
    <w:p w14:paraId="4031165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granicom građevinskog područja određenom važećim ili prethodno važećim prostornim planom u svrhu određivanja vlasništva zemljišta sukladno posebnim zakonima o poljoprivrednom zemljištu i šumama</w:t>
      </w:r>
    </w:p>
    <w:p w14:paraId="3631CA5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sudskom odlukom o utvrđivanju prava vlasništva ili razvrgnuću suvlasničke zajednice.</w:t>
      </w:r>
    </w:p>
    <w:p w14:paraId="2F2C25D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 slučajevima iz stavka 1. točaka 4. i 5. ovoga članka, nova građevna čestica mora imati neposredan pristup na prometnu površinu te oblik i veličinu koja omogućuje gradnju građevine određene prostornim planom na toj lokaciji.</w:t>
      </w:r>
    </w:p>
    <w:p w14:paraId="4BB3EEA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Parcelacija zemljišta izvan granica građevinskog područja radi povećanja građevne čestice unutar granice građevinskog područja nije dopuštena.</w:t>
      </w:r>
    </w:p>
    <w:p w14:paraId="50D7AF85"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Izgrađeno i neizgrađeno građevinsko zemljište</w:t>
      </w:r>
    </w:p>
    <w:p w14:paraId="7D757141"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203.</w:t>
      </w:r>
    </w:p>
    <w:p w14:paraId="1D86D90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Parcelacija neizgrađenog građevinskog zemljišta može se, osim u skladu s aktima i planovima iz članka 202. stavka 1. ovoga Zakona, provoditi i u skladu s:</w:t>
      </w:r>
    </w:p>
    <w:p w14:paraId="5941AD1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rješenjem o povratu zemljišta donesenim na temelju propisa kojim se uređuje naknada za imovinu oduzetu za vrijeme jugoslavenske komunističke vladavine</w:t>
      </w:r>
    </w:p>
    <w:p w14:paraId="479A8F1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sudskom odlukom o utvrđivanju prava vlasništva zemljišta.</w:t>
      </w:r>
    </w:p>
    <w:p w14:paraId="0F6F6A1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Parcelacija izgrađenoga građevinskog zemljišta može se, osim u skladu s aktima i planovima iz članka 202. stavka 1. ovoga Zakona, provoditi i u svrhu spajanja cijelih katastarskih čestica na kojima je izgrađena postojeća zgrada.</w:t>
      </w:r>
    </w:p>
    <w:p w14:paraId="404622A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Članak 202. stavak 1. ovoga Zakona ne odnosi se na parcelaciju građevinskog zemljišta kojom se međusobno usklađuje stanje u katastru, zemljišnoj knjizi i naravi.</w:t>
      </w:r>
    </w:p>
    <w:p w14:paraId="5DABB41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Potvrda parcelacijskog elaborata</w:t>
      </w:r>
    </w:p>
    <w:p w14:paraId="1F2886E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204.</w:t>
      </w:r>
    </w:p>
    <w:p w14:paraId="70CC671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Parcelacija građevinskog zemljišta izrađena u skladu s aktima odnosno planovima iz članka 202. stavka 1. ovoga Zakona provodi se u katastru na temelju parcelacijskog elaborata za koji je upravno tijelo odnosno Ministarstvo izdalo potvrdu o njegovoj usklađenosti s aktom odnosno planom u skladu s kojim je izrađen.</w:t>
      </w:r>
    </w:p>
    <w:p w14:paraId="6C9BE46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Iznimno od stavka 1. ovoga članka, za zahvate u prostoru linijske infrastrukture upravno tijelo odnosno Ministarstvo izdaje potvrdu da je grafički dio parcelacijskog elaborata odnosno elaborata nepotpunog izvlaštenja usklađen s aktom odnosno planom u skladu s kojim je izrađen.</w:t>
      </w:r>
    </w:p>
    <w:p w14:paraId="33951D0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Parcelacijski elaborati za zahvate linijske infrastrukture iz stavka 2. ovoga članka izrađuju se i potvrđuju za cjeloviti zahvat u prostoru, a ako se građevna čestica proteže područjima dviju ili više katastarskih općina ili se radi o zahvatu po etapama/fazama, potrebno je na situaciji građevne čestice prikazati sve parcelacijske elaborate koje obuhvaća cjeloviti zahvat u prostoru.</w:t>
      </w:r>
    </w:p>
    <w:p w14:paraId="7A86790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Za zahvate u prostoru za koje se u idejnom projektu određuje obuhvat zahvata u prostoru, a građevna čestica formira parcelacijskim elaboratom u skladu s lokacijskom dozvolom, uz zahtjev za izdavanje potvrde parcelacijskog elaborata prilaže se i situacija građevne čestice koju je ovjerio ovlašteni inženjer geodezije i projektant idejnog i/ili glavnog projekta.</w:t>
      </w:r>
    </w:p>
    <w:p w14:paraId="13DD7D8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Parcelacija građevinskog zemljišta izrađena u skladu s rješenjem odnosno odlukom iz članka 203. ovoga Zakona provodi se u katastru prema posebnom propisu kojim se uređuje katastar nekretnina nakon provedbe u zemljišnoj knjizi, ako je izrađen u skladu s tim rješenjem odnosno odlukom, a što utvrđuje katastarski ured sukladno posebnom propisu.</w:t>
      </w:r>
    </w:p>
    <w:p w14:paraId="3324527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(6) Uz parcelacijski elaborat prilaže se elektronički zapis koordinata lomnih točaka građevne čestice u GML formatu.</w:t>
      </w:r>
    </w:p>
    <w:p w14:paraId="6A721FC9" w14:textId="77777777" w:rsidR="00AB4C75" w:rsidRDefault="00AB4C75"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137C9D90" w14:textId="547FA27E" w:rsidR="007E17BF" w:rsidRPr="007E17BF" w:rsidRDefault="007E17BF" w:rsidP="00AB4C75">
      <w:pPr>
        <w:pStyle w:val="Naslov3"/>
        <w:rPr>
          <w:lang w:eastAsia="hr-HR"/>
        </w:rPr>
      </w:pPr>
      <w:bookmarkStart w:id="29" w:name="_Toc219166946"/>
      <w:r w:rsidRPr="007E17BF">
        <w:rPr>
          <w:lang w:eastAsia="hr-HR"/>
        </w:rPr>
        <w:t>DIO OSMI</w:t>
      </w:r>
      <w:r w:rsidR="00AB4C75">
        <w:rPr>
          <w:lang w:eastAsia="hr-HR"/>
        </w:rPr>
        <w:t xml:space="preserve">   </w:t>
      </w:r>
      <w:r w:rsidRPr="007E17BF">
        <w:rPr>
          <w:lang w:eastAsia="hr-HR"/>
        </w:rPr>
        <w:t>UREĐENJE GRAĐEVINSKOG ZEMLJIŠTA</w:t>
      </w:r>
      <w:bookmarkEnd w:id="29"/>
    </w:p>
    <w:p w14:paraId="2EB55A3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Cilj i obveza uređenja građevinskog zemljišta</w:t>
      </w:r>
    </w:p>
    <w:p w14:paraId="7E5356C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205.</w:t>
      </w:r>
    </w:p>
    <w:p w14:paraId="5E343BB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Jedinice lokalne samouprave dužne su odrediti dinamiku komunalnog opremanja unutar građevinskog područja s ciljem sređivanja stanja u prostoru i stvaranja uvjeta za gradnju i to tako da se, najkasnije u roku od pet godina od kada se građevinsko područje odredi u prostornom planu, ono komunalno opremi. Postojeća građevinska područja jedinice lokalne samouprave dužne su komunalno opremiti u roku od pet godina od dana stupanja na snagu ovoga Zakona. Jedinice lokalne samouprave dužne su svake godine zajedno s proračunom donijeti i Program izgradnje komunalne infrastrukture s projekcijom za tri godine.</w:t>
      </w:r>
    </w:p>
    <w:p w14:paraId="14E3192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Građevinsko područje uređuje se u cilju njegova osposobljavanja za građenje, rekonstrukciju i korištenje zgrada u skladu s prostornim planom te s tim u vezi poboljšanja uvjeta života i rada u naseljima.</w:t>
      </w:r>
    </w:p>
    <w:p w14:paraId="674969F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Uređenje građevinskog područja obuhvaća sljedeće radnje i radove:</w:t>
      </w:r>
    </w:p>
    <w:p w14:paraId="0673701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pribavljanje projekata i druge dokumentacije, rješavanje imovinskopravnih odnosa u skladu s ovim Zakonom i posebnim zakonom i ishođenje akata potrebnih za provedbu radova u svrhu uređenja građevinskog zemljišta</w:t>
      </w:r>
    </w:p>
    <w:p w14:paraId="15A0EFA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građenje infrastrukture i građevina javne i društvene namjene odnosno njihovu rekonstrukciju u skladu s posebnim zakonima, ako ovim Zakonom nije propisano drukčije</w:t>
      </w:r>
    </w:p>
    <w:p w14:paraId="5A1617A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sanaciju terena kao što su odvodnja, izravnanje, osiguranje zemljišta i sl.</w:t>
      </w:r>
    </w:p>
    <w:p w14:paraId="1C9660E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Uređeno građevinsko zemljište, u smislu ovoga Zakona, je ono zemljište za koje se mogu ishoditi akti za gradnju i graditi građevine odnosno izvoditi odgovarajući planirani zahvati u prostoru.</w:t>
      </w:r>
    </w:p>
    <w:p w14:paraId="50101B5D"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Obveza uređenja građevinskog zemljišta</w:t>
      </w:r>
    </w:p>
    <w:p w14:paraId="14F6A76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206.</w:t>
      </w:r>
    </w:p>
    <w:p w14:paraId="55804A5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Uređenje građevinskog zemljišta obveza je jedinica lokalne samouprave i javnopravnih tijela koja prema posebnim propisima grade i/ili upravljaju infrastrukturom.</w:t>
      </w:r>
    </w:p>
    <w:p w14:paraId="35AFFEF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Organizacija izgradnje i rekonstrukcije infrastrukture i građevina javne i društvene namjene, koordinacija javnopravnih tijela s tim u vezi i sanacija terena u naselju obveza je jedinica lokalne samouprave.</w:t>
      </w:r>
    </w:p>
    <w:p w14:paraId="3BD4EEA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Investitor infrastrukture</w:t>
      </w:r>
    </w:p>
    <w:p w14:paraId="72D5050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207.</w:t>
      </w:r>
    </w:p>
    <w:p w14:paraId="712E3DB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Investitor komunalne infrastrukture i sanacije terena u naselju je jedinica lokalne samouprave ili trgovačko društvo koje obavlja odgovarajuću komunalnu djelatnost, a druge infrastrukture javnopravno tijelo ili druga osoba koja je istu prema posebnom propisu ovlaštena graditi.</w:t>
      </w:r>
    </w:p>
    <w:p w14:paraId="1601CE6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Investitor komunalne odnosno druge infrastrukture može biti i jedna ili više osoba čijem zemljištu ili građevini služi infrastruktura ako za to imaju suglasnost jedinice lokalne samouprave odnosno osobe iz stavka 1. ovoga članka.</w:t>
      </w:r>
    </w:p>
    <w:p w14:paraId="5E57045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Suglasnost iz stavka 2. ovoga članka može se dati samo osobi odnosno osobama koje se ugovorom obvežu komunalnu odnosno drugu infrastrukturu planiranu prostornim planom izgraditi vlastitim sredstvima u određenom roku i istu predati u vlasništvo jedinice lokalne samouprave odnosno osobe određene posebnim propisom. Ova suglasnost može se dati i za građenje komunalne odnosno druge infrastrukture koja svojom trasom i kapacitetom premašuje potrebe zemljišta odnosno građevine investitora.</w:t>
      </w:r>
    </w:p>
    <w:p w14:paraId="4B4DE0F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Međusobna prava i obveze u pogledu uvjeta građenja komunalne odnosno druge infrastrukture jedinica lokalne samouprave odnosno trgovačko društvo ili osoba iz stavka 1. ovoga članka i investitor komunalne odnosno druge infrastrukture uređuju ugovorom iz stavka 3. ovoga članka.</w:t>
      </w:r>
    </w:p>
    <w:p w14:paraId="05BCEE8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Ugovorom iz stavka 3. ovoga članka može se ugovoriti povrat dijela sredstava utrošenih za izgradnju komunalne odnosno druge infrastrukture ili djelomično prebijanje s obvezom plaćanja komunalnog doprinosa u slučaju građenja građevine čije se građenje financira iz sredstava komunalnog doprinosa.</w:t>
      </w:r>
    </w:p>
    <w:p w14:paraId="3C186A3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Iskaz interesa za provedbu zahvata u prostoru</w:t>
      </w:r>
    </w:p>
    <w:p w14:paraId="0FB0B04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208.</w:t>
      </w:r>
    </w:p>
    <w:p w14:paraId="08667E6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Ako građevinsko područje nije opremljeno osnovnom infrastrukturom, a investitor ima namjeru na njemu provesti jedan ili više zahvata u prostoru sukladno prostornom planu, investitor dostavlja iskaz interesa za gradnju na zemljištu unutar tog građevinskog područja.</w:t>
      </w:r>
    </w:p>
    <w:p w14:paraId="5F0B6E7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Iskaz interesa iz stavka 1. ovoga članka sadrži:</w:t>
      </w:r>
    </w:p>
    <w:p w14:paraId="54997E2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izjavu investitora da se obvezuje financirati izradu i donošenje urbanističkog plana uređenja ako isti nije donesen, riješiti imovinskopravne odnose u ime i za račun jedinice lokalne samouprave i izgraditi osnovnu infrastrukturu</w:t>
      </w:r>
    </w:p>
    <w:p w14:paraId="1F8A985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dokaz o financijskoj sposobnosti</w:t>
      </w:r>
    </w:p>
    <w:p w14:paraId="2302C4C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3. dokaz pravnog interesa za gradnju na području iz stavka 1. ovoga članka</w:t>
      </w:r>
    </w:p>
    <w:p w14:paraId="3C42EBB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prometnu i komunalnu infrastrukturnu stručnu studiju s analizom stanja prostora obuhvata zahvata i kontaktnog područja, s prikazom mogućeg mjesta priključenja.</w:t>
      </w:r>
    </w:p>
    <w:p w14:paraId="6E59AFE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Ako jedinica lokalne samouprave za područje iz stavka 1. ovoga članka u roku od tri godine od iskaza interesa ne donese urbanistički plan uređenja za područje za koje je propisana obveza njegova donošenja, smatrat će se da je investitor uspješno dokazao da može biti investitor za gradnju osnovne infrastrukture.</w:t>
      </w:r>
    </w:p>
    <w:p w14:paraId="01BD5A3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Ako jedinica lokalne samouprave za područje iz stavka 1. ovoga članka za koje je donesen urbanistički plan uređenja u roku od tri godine od iskaza interesa ne opremi područje osnovnom infrastrukturom, smatrat će se da je investitor uspješno dokazao da može biti investitor za gradnju osnovne infrastrukture.</w:t>
      </w:r>
    </w:p>
    <w:p w14:paraId="583B36E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Za iznos sredstava uloženih u izradu projektne i druge dokumentacije i financiranje gradnje infrastrukture iz stavaka 3. i 4. ovoga članka umanjuje se iznos komunalnog doprinosa koji je investitor dužan platiti za gradnju svoje građevine.</w:t>
      </w:r>
    </w:p>
    <w:p w14:paraId="72B692A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Investitor je dužan podmiriti iznos potreban za rješavanje imovinskopravnih odnosa za gradnju osnovne infrastrukture.</w:t>
      </w:r>
    </w:p>
    <w:p w14:paraId="6125649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Projektna dokumentacija za ishođenje lokacijske i/ili građevinske dozvole za gradnju osnovne infrastrukture izrađuje se na temelju prostornog plana predmetnog područja, a izradi idejnog projekta na temelju kojeg se izdaje lokacijska dozvola prethodi prometna i komunalna infrastrukturna stručna studija iz stavka 2. ovoga članka, čiji je sadržaj detaljnije propisan pravilnikom iz članka 164. stavka 1. ovoga Zakona.</w:t>
      </w:r>
    </w:p>
    <w:p w14:paraId="728FDC3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(8) Zahtjev za izdavanje lokacijske i/ili građevinske dozvole za osnovnu infrastrukturu iz stavka 1. ovoga članka podnosi se Ministarstvu.</w:t>
      </w:r>
    </w:p>
    <w:p w14:paraId="140076D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(9) Stranke se radi uvida u spis predmeta pozivaju osobno i javnim pozivom koji se objavljuje na elektroničkoj oglasnoj ploči.</w:t>
      </w:r>
    </w:p>
    <w:p w14:paraId="70DBBA9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(10) Ako za buduću građevnu česticu osnovne infrastrukture nisu riješeni imovinskopravni odnosi, upravni odjel županije ili Grada Zagreba nadležan za imovinskopravne odnose dužan je pokrenuti postupak uređenja imovinskopravnih odnosa u roku od 30 dana od pravomoćnosti lokacijske dozvole.</w:t>
      </w:r>
    </w:p>
    <w:p w14:paraId="389244A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Redoslijed uređenja građevinskog zemljišta</w:t>
      </w:r>
    </w:p>
    <w:p w14:paraId="5E6119E1"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209.</w:t>
      </w:r>
    </w:p>
    <w:p w14:paraId="4E2AAAB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Prilikom uređenja pojedinih dijelova građevinskog zemljišta ili građenja pojedinih građevina infrastrukture mora se voditi računa o redoslijedu uređenja tako da se omogući trenutačna i konačna usklađenost i funkcionalna povezanost tih dijelova.</w:t>
      </w:r>
    </w:p>
    <w:p w14:paraId="55E3665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Nove građevine infrastrukture ili njihovi novi dijelovi ne mogu se priključivati na postojeće građevine infrastrukture odnosno druge infrastrukturne građevine koje kapacitetom ili drugim obilježjima ne udovoljavaju novim građevinama i uređajima odnosno njihovim dijelovima.</w:t>
      </w:r>
    </w:p>
    <w:p w14:paraId="2EA9F87D" w14:textId="77777777" w:rsidR="00146C31" w:rsidRDefault="00146C31"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0FD95B11" w14:textId="4358D271" w:rsidR="007E17BF" w:rsidRPr="007E17BF" w:rsidRDefault="007E17BF" w:rsidP="00146C31">
      <w:pPr>
        <w:pStyle w:val="Naslov3"/>
        <w:rPr>
          <w:lang w:eastAsia="hr-HR"/>
        </w:rPr>
      </w:pPr>
      <w:bookmarkStart w:id="30" w:name="_Toc219166947"/>
      <w:r w:rsidRPr="007E17BF">
        <w:rPr>
          <w:lang w:eastAsia="hr-HR"/>
        </w:rPr>
        <w:t>DIO DEVETI</w:t>
      </w:r>
      <w:r w:rsidR="00146C31">
        <w:rPr>
          <w:lang w:eastAsia="hr-HR"/>
        </w:rPr>
        <w:t xml:space="preserve">   </w:t>
      </w:r>
      <w:r w:rsidRPr="007E17BF">
        <w:rPr>
          <w:lang w:eastAsia="hr-HR"/>
        </w:rPr>
        <w:t>IMOVINSKI INSTITUTI UREĐENJA GRAĐEVINSKOG ZEMLJIŠTA</w:t>
      </w:r>
      <w:bookmarkEnd w:id="30"/>
    </w:p>
    <w:p w14:paraId="208757A5"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Ugovor o financiranju uređenja građevinskog zemljišta</w:t>
      </w:r>
    </w:p>
    <w:p w14:paraId="033A1ED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210.</w:t>
      </w:r>
    </w:p>
    <w:p w14:paraId="67BD3BD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Troškove ili dio troškova potrebnih za izradu urbanističkog plana uređenja ili za izgradnju osnovne infrastrukture može snositi vlasnik zemljišta kojem to uređenje koristi ili druga zainteresirana osoba koja s jedinicom lokalne samouprave sklopi ugovor o financiranju uređenja građevinskog zemljišta.</w:t>
      </w:r>
    </w:p>
    <w:p w14:paraId="61AED53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Ugovor o financiranju uređenja građevinskog zemljišta sklapa se u pisanoj formi, a ovisno o svom predmetu, sadrži:</w:t>
      </w:r>
    </w:p>
    <w:p w14:paraId="0B35C15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naziv odnosno ime i adresu stranaka</w:t>
      </w:r>
    </w:p>
    <w:p w14:paraId="28463EA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naziv i obuhvat urbanističkog plana uređenja čija se izrada financira i osnovne smjernice za njegovu izradu značajne za obje stranke</w:t>
      </w:r>
    </w:p>
    <w:p w14:paraId="29DF758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obvezu jedinice lokalne samouprave da donese urbanistički plan uređenja i rok za njegovo donošenje</w:t>
      </w:r>
    </w:p>
    <w:p w14:paraId="7CAC672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vrstu i opseg radnji i radova na uređenju zemljišta koje se obvezuje izvršiti jedinica lokalne samouprave, te rok za njihovo izvršenje</w:t>
      </w:r>
    </w:p>
    <w:p w14:paraId="7CFD217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iznos, način i rok plaćanja troškova uređenja zemljišta koji se obvezuju platiti vlasnik zemljišta odnosno zainteresirana osoba.</w:t>
      </w:r>
    </w:p>
    <w:p w14:paraId="15F9F9B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Sredstva ostvarena sklapanjem ugovora o financiranju uređenja građevinskog zemljišta prihod su proračuna jedinice lokalne samouprave.</w:t>
      </w:r>
    </w:p>
    <w:p w14:paraId="31ECFA4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Sklapanje ugovora o financiranju uređenja građevinskog zemljišta ne isključuje primjenu posebnih propisa o javnoj nabavi.</w:t>
      </w:r>
    </w:p>
    <w:p w14:paraId="6B4B579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(5) Ugovor o financiranju uređenja građevinskog zemljišta objavljuje se u službenom glasilu jedinice lokalne samouprave.</w:t>
      </w:r>
    </w:p>
    <w:p w14:paraId="446CA3E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Izravno plaćanje</w:t>
      </w:r>
    </w:p>
    <w:p w14:paraId="16D8E9F4"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211.</w:t>
      </w:r>
    </w:p>
    <w:p w14:paraId="1A93F3F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Iznimno od članka 210. stavaka 3. i 4. ovoga Zakona, ako se urbanistički plan uređenja donosi za zemljište u vlasništvu jedne ili više osoba koje u cijelosti financiraju njegovu izradu, ugovorom o financiranju uređenja građevinskog zemljišta može se ugovoriti da izrađivača tog plana odabiru i izravno plaćaju te osobe.</w:t>
      </w:r>
    </w:p>
    <w:p w14:paraId="3903C2D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 slučaju iz stavka 1. ovoga članka nositelj izrade prostornog plana je stručno upravno tijelo općine, grada, velikoga grada odnosno Grada Zagreba.</w:t>
      </w:r>
    </w:p>
    <w:p w14:paraId="6055B59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Komunalni doprinos</w:t>
      </w:r>
    </w:p>
    <w:p w14:paraId="5323A69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212.</w:t>
      </w:r>
    </w:p>
    <w:p w14:paraId="19BAAEB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Osoba koja s jedinicom lokalne samouprave sklopi ugovor o financiranju uređenja građevinskog zemljišta u pogledu financiranja izgradnje objekta ili uređaja komunalne infrastrukture koji se prema posebnom zakonu financira iz komunalnog doprinosa ne plaća taj doprinos do iznosa troškova uređenja zemljišta koji plaća na temelju ugovora.</w:t>
      </w:r>
    </w:p>
    <w:p w14:paraId="29CCB337"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Prijenos zemljišta u vlasništvo jedinice lokalne samouprave</w:t>
      </w:r>
    </w:p>
    <w:p w14:paraId="2D04029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213.</w:t>
      </w:r>
    </w:p>
    <w:p w14:paraId="0DE380B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Vlasnik neizgrađenog i neopterećenog zemljišta na kojemu je urbanističkim planom uređenja ili prostornim planom šireg područja, kojim su propisani uvjeti provedbe zahvata u prostoru s detaljnošću propisanom za urbanistički plan uređenja, planirano građenje odnosno uređenje površine javne namjene može to zemljište prenijeti u vlasništvo jedinice lokalne samouprave.</w:t>
      </w:r>
    </w:p>
    <w:p w14:paraId="6BCDD8F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Na način iz stavka 1. ovoga članka može postupiti i vlasnik neizgrađenog zemljišta na kojemu ne može graditi jer se ne može formirati građevna čestica u skladu s urbanističkim planom uređenja ili prostornim planom šireg područja kojim su propisani uvjeti provedbe zahvata u prostoru s detaljnošću propisanom za urbanistički plan uređenja.</w:t>
      </w:r>
    </w:p>
    <w:p w14:paraId="5309C94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Prijenos građevinskog zemljišta unutar granica građevinskog područja</w:t>
      </w:r>
    </w:p>
    <w:p w14:paraId="397ACC1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214.</w:t>
      </w:r>
    </w:p>
    <w:p w14:paraId="36F50D9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Vlasnik građevinskog zemljišta unutar granica građevinskog područja dužan je, prije dobivanja akta za provedbu zahvata u prostoru, prenijeti jedinici lokalne samouprave u vlasništvo dio tog zemljišta koje je prostornim planom, na temelju kojeg se određuje oblik i veličina građevne čestice, lokacijskom dozvolom ili građevinskom dozvolom određeno za građenje komunalne infrastrukture, a koja služi njegovoj građevnoj čestici ili građevini koja će se izgraditi na toj čestici.</w:t>
      </w:r>
    </w:p>
    <w:p w14:paraId="72161A6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Vlasnik građevinskog zemljišta unutar granica građevinskog područja dužan je prije dobivanja akta za provedbu zahvata u prostoru s jedinicom lokalne samouprave ili drugom ovlaštenom osobom sklopiti ugovor o osnivanju služnosti provoza i/ili prolaza ili druge služnosti na svojoj građevnoj čestici ili građevini koja će na njoj biti izgrađena za korist komunalne infrastrukture kada je to potrebno prema urbanističkom planu uređenja odnosno drugom prostornom planu koji ima detaljnost tog plana.</w:t>
      </w:r>
    </w:p>
    <w:p w14:paraId="55002AD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Naknada za preneseno zemljište</w:t>
      </w:r>
    </w:p>
    <w:p w14:paraId="0277C41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215.</w:t>
      </w:r>
    </w:p>
    <w:p w14:paraId="47AA34E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Za preneseno zemljište iz članka 213. i članka 214. stavka 1. ovoga Zakona odnosno za osnovanu služnost iz članka 214. stavka 2. ovoga Zakona vlasniku pripada naknada u visini tržišne vrijednosti prenesenog zemljišta odnosno u iznosu za koji je umanjena vrijednost nekretnine zbog osnivanja služnosti.</w:t>
      </w:r>
    </w:p>
    <w:p w14:paraId="67BBF1C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Vlasniku prenesenog zemljišta iz članka 213. i članka 214. stavka 1. ovoga Zakona pripada i naknada troškova izrade parcelacijskog elaborata ako je bio potreban za prijenos zemljišta.</w:t>
      </w:r>
    </w:p>
    <w:p w14:paraId="3038810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Naknadu iz stavaka 1. i 2. ovoga članka dužna je isplatiti jedinica lokalne samouprave odnosno osoba s kojom je sklopljen ugovor najkasnije u roku od četiri godine od dana prijenosa zemljišta odnosno sklapanja ugovora.</w:t>
      </w:r>
    </w:p>
    <w:p w14:paraId="02BA691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Način prijenosa zemljišta</w:t>
      </w:r>
    </w:p>
    <w:p w14:paraId="445E941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216.</w:t>
      </w:r>
    </w:p>
    <w:p w14:paraId="7B64E09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Zemljište iz članka 213. i članka 214. stavka 1. ovoga Zakona vlasnik prenosi izjavom o prijenosu zemljišta koju daje na zapisnik nadležnom upravnom tijelu županije odnosno Grada Zagreba, u čijem je djelokrugu obavljanje povjerenih poslova državne uprave koji se odnose na poslove izvlaštenja (u daljnjem tekstu: nadležno upravno tijelo). O prijenosu zemljišta ne donosi se upravni akt.</w:t>
      </w:r>
    </w:p>
    <w:p w14:paraId="68082F2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Nadležno upravno tijelo dužno je pozvati jedinicu lokalne samouprave da prisustvuje davanju izjave iz stavka 1. ovoga članka najmanje 14 dana prije davanja izjave.</w:t>
      </w:r>
    </w:p>
    <w:p w14:paraId="1D06F884" w14:textId="77777777" w:rsid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Pristanak odnosno protivljenje jedinice lokalne samouprave prijenosu zemljišta nije od utjecaja na prijenos odnosno na stjecanje prava vlasništva zemljišta koje se prenosi.</w:t>
      </w:r>
    </w:p>
    <w:p w14:paraId="4CC797E8" w14:textId="77777777" w:rsidR="00146C31" w:rsidRDefault="00146C31"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5ABFF7E3" w14:textId="77777777" w:rsidR="00146C31" w:rsidRPr="007E17BF" w:rsidRDefault="00146C31"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2F789CA5"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Dostava dokumentacije</w:t>
      </w:r>
    </w:p>
    <w:p w14:paraId="411E44B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217.</w:t>
      </w:r>
    </w:p>
    <w:p w14:paraId="413F64C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Nadležno upravno tijelo dužno je zapisnik o prijenosu zemljišta i parcelacijski elaborat pregledan i potvrđen u skladu s ovim Zakonom i zakonom kojim se uređuje državna izmjera i katastar nekretnina, ako je bio potreban za prijenos zemljišta, bez odgađanja dostaviti jedinici lokalne samouprave u čije je vlasništvo preneseno zemljište i dostaviti ih katastarskom uredu i nadležnom sudu radi provedbe.</w:t>
      </w:r>
    </w:p>
    <w:p w14:paraId="380A95B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Zapisnik o prijenosu zemljišta koji je potpisao vlasnik zemljišta i službena osoba, ovjeren pečatom nadležnog upravnog tijela je pravna osnova za stjecanje vlasništva jedinice lokalne samouprave na prenesenom zemljištu.</w:t>
      </w:r>
    </w:p>
    <w:p w14:paraId="091D67E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Zapisnik o prijenosu zemljišta iz stavka 1. predstavlja javnu ispravu u smislu odredbe članka 60. Zakona o zemljišnim knjigama (»Narodne novine« br. 63/19., 128/22., 155/23. i 127/24.).</w:t>
      </w:r>
    </w:p>
    <w:p w14:paraId="48275F55"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Utvrđivanje naknade</w:t>
      </w:r>
    </w:p>
    <w:p w14:paraId="298120FD"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218.</w:t>
      </w:r>
    </w:p>
    <w:p w14:paraId="59DB4CF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Nadležno upravno tijelo na prijedlog vlasnika saziva raspravu u svrhu sporazumnog utvrđivanja naknade za preneseno zemljište.</w:t>
      </w:r>
    </w:p>
    <w:p w14:paraId="4D24B5B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Ako vlasnik i jedinica lokalne samouprave ne postignu sporazum u pogledu naknade za preneseno zemljište, nadležni sud ovu naknadu po zahtjevu vlasnika određuje u izvanparničnom postupku.</w:t>
      </w:r>
    </w:p>
    <w:p w14:paraId="145CDFD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Pri utvrđivanju naknade iz stavka 1. ovoga članka uzima se u obzir korist odnosno povećanje vrijednosti zemljišta proizašlo iz planiranja građevine odnosno površine javne namjene.</w:t>
      </w:r>
    </w:p>
    <w:p w14:paraId="4A04F0B5"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Obveza prodaje zemljišta</w:t>
      </w:r>
    </w:p>
    <w:p w14:paraId="3A933E4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219.</w:t>
      </w:r>
    </w:p>
    <w:p w14:paraId="3DC8DA3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Republika Hrvatska, jedinice lokalne i područne (regionalne) samouprave na zahtjev vlasnika zemljišta, i/ili građevine odnosno investitora zgrade po tržišnoj cijeni mogu prodati bez provedbe javnog natječaja, ako na zemljištu za to ne postoje </w:t>
      </w:r>
      <w:proofErr w:type="spellStart"/>
      <w:r w:rsidRPr="007E17BF">
        <w:rPr>
          <w:rFonts w:ascii="Times New Roman" w:eastAsia="Times New Roman" w:hAnsi="Times New Roman"/>
          <w:color w:val="231F20"/>
          <w:sz w:val="20"/>
          <w:szCs w:val="20"/>
          <w:lang w:eastAsia="hr-HR"/>
        </w:rPr>
        <w:t>stvarnopravne</w:t>
      </w:r>
      <w:proofErr w:type="spellEnd"/>
      <w:r w:rsidRPr="007E17BF">
        <w:rPr>
          <w:rFonts w:ascii="Times New Roman" w:eastAsia="Times New Roman" w:hAnsi="Times New Roman"/>
          <w:color w:val="231F20"/>
          <w:sz w:val="20"/>
          <w:szCs w:val="20"/>
          <w:lang w:eastAsia="hr-HR"/>
        </w:rPr>
        <w:t xml:space="preserve"> ili druge slične zapreke:</w:t>
      </w:r>
    </w:p>
    <w:p w14:paraId="5D67970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dio neizgrađenog zemljišta potrebnog za formiranje neizgrađene građevne čestice u skladu s aktom za provedbu zahvata u prostoru, ako taj dio ne prelazi 50 % površine planirane građevne čestice</w:t>
      </w:r>
    </w:p>
    <w:p w14:paraId="6A1A438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dio zemljišta potrebnog za formiranje izgrađene građevne čestice u skladu s aktom za provedbu zahvata u prostoru</w:t>
      </w:r>
    </w:p>
    <w:p w14:paraId="0C9D9DA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zemljište koje čini građevnu česticu zgrade odnosno zemljište nužno za redovitu uporabu zgrade za koju je na temelju posebnog zakona kojim se uređuje ozakonjenje nezakonitih zgrada doneseno rješenje o izvedenom stanju.</w:t>
      </w:r>
    </w:p>
    <w:p w14:paraId="15B538E7"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Pravo prvokupa</w:t>
      </w:r>
    </w:p>
    <w:p w14:paraId="6454C2B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220.</w:t>
      </w:r>
    </w:p>
    <w:p w14:paraId="22BEEDA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Vlada, skupština županije odnosno Grada Zagreba, gradsko vijeće i općinsko vijeće (u daljnjem tekstu: nositelj prava prvokupa) mogu svojom odlukom odrediti područje na kojem imaju pravo prvokupa nekretnina potrebnih za građenje infrastrukture ili građevine javne i društvene namjene.</w:t>
      </w:r>
    </w:p>
    <w:p w14:paraId="11AFED3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Vlada, skupština županije odnosno Grada Zagreba, gradsko vijeće i općinsko vijeće mogu svojom odlukom odrediti područje na kojemu pravna osoba s javnim ovlastima ima pravo prvokupa nekretnina potrebnih za građenje infrastrukture za koju su prema posebnom propisu nadležni.</w:t>
      </w:r>
    </w:p>
    <w:p w14:paraId="252C571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Područje iz stavaka 1. i 2. ovoga članka određuje se na katastarskoj podlozi tako da je nedvojbeno na koje se nekretnine odnosi pravo prvokupa.</w:t>
      </w:r>
    </w:p>
    <w:p w14:paraId="311697E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Odluka iz stavaka 1 i 2. ovoga članka objavljuje se u informacijskom sustavu i »Narodnim novinama« odnosno službenom glasilu županije, Grada Zagreba, velikoga grada, grada i općine te na njihovim mrežnim stranicama.</w:t>
      </w:r>
    </w:p>
    <w:p w14:paraId="4ACD49E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Odluka iz stavaka 1. i 2. ovoga članka dostavlja se sudu nadležnom za rješavanje zemljišnoknjižnih predmeta i vođenje zemljišnih knjiga radi upisa predbilježbe prava prvokupa i nadležnom katastarskom uredu.</w:t>
      </w:r>
    </w:p>
    <w:p w14:paraId="40985751"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Ponuda</w:t>
      </w:r>
    </w:p>
    <w:p w14:paraId="2F5A8DB4"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221.</w:t>
      </w:r>
    </w:p>
    <w:p w14:paraId="3FFAEC9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Vlasnik nekretnine na području na kojem postoji pravo prvokupa koji namjerava prodati svoju nekretninu dužan je javnobilježnički ovjerenom ispravom ili na drugi odgovarajući način nositelju prava prvokupa ponuditi na prodaju i priopćiti mu cijenu i uvjete prodaje te nekretnine.</w:t>
      </w:r>
    </w:p>
    <w:p w14:paraId="1853FBA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Ako nositelj prava prvokupa kojemu je stavljena ponuda ne izjavi u roku od 60 dana od dana priopćenja ponude da prihvaća ponudu, vlasnik nekretnine može istu prodati drugom, ali samo pod istim uvjetima ili za višu cijenu.</w:t>
      </w:r>
    </w:p>
    <w:p w14:paraId="68EB2856" w14:textId="77777777" w:rsid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Kad se prema uvjetima prodaje cijena treba u cijelosti ili djelomice isplatiti u novcu, izjava o prihvaćanju ponude može imati učinak samo ako nositelj prava prvokupa kojem je stavljena ponuda vlasniku nekretnine ili kod javnog bilježnika odnosno nadležnog suda deponira cijeli iznos koji se prema ponudi treba isplatiti u novcu.</w:t>
      </w:r>
    </w:p>
    <w:p w14:paraId="351860A3" w14:textId="77777777" w:rsidR="00146C31" w:rsidRDefault="00146C31"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4BBA5D34" w14:textId="77777777" w:rsidR="00146C31" w:rsidRDefault="00146C31"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6F8F7808" w14:textId="77777777" w:rsidR="00146C31" w:rsidRPr="007E17BF" w:rsidRDefault="00146C31"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20775B3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Ugovor o kupoprodaji nekretnine</w:t>
      </w:r>
    </w:p>
    <w:p w14:paraId="1DF20227"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222.</w:t>
      </w:r>
    </w:p>
    <w:p w14:paraId="6849511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Sklapanje ugovora o kupoprodaji nekretnine protivno članku 221. ovoga Zakona razlog je za poništenje tog ugovora.</w:t>
      </w:r>
    </w:p>
    <w:p w14:paraId="5FB968D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Tužba za poništenje ugovora iz stavka 1. ovoga članka ne može se podnijeti nakon isteka tri godine od dana njegova sklapanja.</w:t>
      </w:r>
    </w:p>
    <w:p w14:paraId="66F755B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Obveza otkupa zemljišta</w:t>
      </w:r>
    </w:p>
    <w:p w14:paraId="399F6ED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223.</w:t>
      </w:r>
    </w:p>
    <w:p w14:paraId="346C44D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Jedinica lokalne samouprave koja prostornim planom građevinsko područje bilo koje namjene prenamijeni u područje javne namjene ili u površine namijenjene infrastrukturi dužna je po tržišnoj cijeni otkupiti zemljište privatnog vlasnika koje je tim planom prenamijenjeno.</w:t>
      </w:r>
    </w:p>
    <w:p w14:paraId="389A977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Tržišna cijena otkupa zemljišta privatnog vlasnika utvrđuje se prema namjeni koju je građevinsko područje u kojem se zemljište nalazi imalo prije nego što je prostornim planom područje te namjene prenamijenjeno u područje javne namjene ili infrastrukturne namjene.</w:t>
      </w:r>
    </w:p>
    <w:p w14:paraId="1DB0BCF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Rok otkupa zemljišta iz stavka 1. ovoga članka je godinu dana od stupanja na snagu prostornog plana kojim je izvršena prenamjena u područje javne namjene ili površine namijenjene infrastrukturi.</w:t>
      </w:r>
    </w:p>
    <w:p w14:paraId="204F282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Pri utvrđivanju cijene iz stavka 1. ovoga članka uzima se u obzir korist odnosno povećanje vrijednosti drugog zemljišta istog vlasnika u trenutku prenamjene, a koje povećanje je proizašlo iz planiranja građevine odnosno površine javne namjene odnosno infrastrukture.</w:t>
      </w:r>
    </w:p>
    <w:p w14:paraId="128DAB03" w14:textId="77777777" w:rsidR="00146C31" w:rsidRDefault="00146C31"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17C52044" w14:textId="5CACB080" w:rsidR="007E17BF" w:rsidRPr="007E17BF" w:rsidRDefault="007E17BF" w:rsidP="00146C31">
      <w:pPr>
        <w:pStyle w:val="Naslov3"/>
        <w:rPr>
          <w:lang w:eastAsia="hr-HR"/>
        </w:rPr>
      </w:pPr>
      <w:bookmarkStart w:id="31" w:name="_Toc219166948"/>
      <w:r w:rsidRPr="007E17BF">
        <w:rPr>
          <w:lang w:eastAsia="hr-HR"/>
        </w:rPr>
        <w:t>DIO DESETI</w:t>
      </w:r>
      <w:r w:rsidR="00146C31">
        <w:rPr>
          <w:lang w:eastAsia="hr-HR"/>
        </w:rPr>
        <w:t xml:space="preserve">   </w:t>
      </w:r>
      <w:r w:rsidRPr="007E17BF">
        <w:rPr>
          <w:lang w:eastAsia="hr-HR"/>
        </w:rPr>
        <w:t>NADZOR</w:t>
      </w:r>
      <w:bookmarkEnd w:id="31"/>
    </w:p>
    <w:p w14:paraId="007382F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Opće odredbe</w:t>
      </w:r>
    </w:p>
    <w:p w14:paraId="6A74AC73"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224.</w:t>
      </w:r>
    </w:p>
    <w:p w14:paraId="1908ACB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Upravni nadzor nad provedbom ovoga Zakona te zakonitost rada jedinica lokalne i područne (regionalne) samouprave, upravnih tijela, stručnih upravnih tijela, zavoda, pravnih osoba s javnim ovlastima, pravnih osoba koje obavljaju stručne poslove prostornog uređenja s tim u vezi provodi Ministarstvo.</w:t>
      </w:r>
    </w:p>
    <w:p w14:paraId="7CD7C8B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Upravna tijela nadležna za poslove prostornog uređenja, svaki u okviru svoje nadležnosti, provode stručni nadzor nad provedbom prostornih planova kao i nad primjenom propisa iz područja prostornog uređenja.</w:t>
      </w:r>
    </w:p>
    <w:p w14:paraId="7D3C108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Uspostava </w:t>
      </w:r>
      <w:proofErr w:type="spellStart"/>
      <w:r w:rsidRPr="007E17BF">
        <w:rPr>
          <w:rFonts w:ascii="Times New Roman" w:eastAsia="Times New Roman" w:hAnsi="Times New Roman"/>
          <w:color w:val="231F20"/>
          <w:sz w:val="20"/>
          <w:szCs w:val="20"/>
          <w:lang w:eastAsia="hr-HR"/>
        </w:rPr>
        <w:t>eInspekcije</w:t>
      </w:r>
      <w:proofErr w:type="spellEnd"/>
    </w:p>
    <w:p w14:paraId="0454365D"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225.</w:t>
      </w:r>
    </w:p>
    <w:p w14:paraId="2DB63D5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U obavljanju poslova nadzora nad zakonitošću rada Ministarstvo uspostavlja informacijski sustav – </w:t>
      </w:r>
      <w:proofErr w:type="spellStart"/>
      <w:r w:rsidRPr="007E17BF">
        <w:rPr>
          <w:rFonts w:ascii="Times New Roman" w:eastAsia="Times New Roman" w:hAnsi="Times New Roman"/>
          <w:color w:val="231F20"/>
          <w:sz w:val="20"/>
          <w:szCs w:val="20"/>
          <w:lang w:eastAsia="hr-HR"/>
        </w:rPr>
        <w:t>eInspekcija</w:t>
      </w:r>
      <w:proofErr w:type="spellEnd"/>
      <w:r w:rsidRPr="007E17BF">
        <w:rPr>
          <w:rFonts w:ascii="Times New Roman" w:eastAsia="Times New Roman" w:hAnsi="Times New Roman"/>
          <w:color w:val="231F20"/>
          <w:sz w:val="20"/>
          <w:szCs w:val="20"/>
          <w:lang w:eastAsia="hr-HR"/>
        </w:rPr>
        <w:t>.</w:t>
      </w:r>
    </w:p>
    <w:p w14:paraId="435CFFBD"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Postupak otklanjanja nezakonitosti</w:t>
      </w:r>
    </w:p>
    <w:p w14:paraId="61CBBF2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226.</w:t>
      </w:r>
    </w:p>
    <w:p w14:paraId="60718F5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Jedinice lokalne i područne (regionalne) samouprave, upravna tijela, stručna upravna tijela, zavodi, pravne osobe s javnim ovlastima, pravne osobe koje obavljaju stručne poslove prostornog uređenja dužni su Ministarstvu u svrhu provedbe nadzora omogućiti pristup njihovim službenim prostorijama i dati na uvid ili po potrebi dostaviti sve zatražene podatke, dokumente i izvješća u zatraženom roku.</w:t>
      </w:r>
    </w:p>
    <w:p w14:paraId="7F95CC3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Ministarstvo rješenjem naređuje jedinici lokalne ili područne (regionalne) samouprave, upravnom tijelu, stručnom upravnom tijelu, zavodu, pravnoj osobi s javnim ovlastima, pravnoj osobi koja obavlja stručne poslove prostornog uređenja otklanjanje nezakonitosti koja se utvrdi u provedbi nadzora te rok za njezino otklanjanje.</w:t>
      </w:r>
    </w:p>
    <w:p w14:paraId="30C7FCE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Protiv rješenja iz stavka 2. ovoga članka može se pokrenuti upravni spor.</w:t>
      </w:r>
    </w:p>
    <w:p w14:paraId="033DCFE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(4) </w:t>
      </w:r>
      <w:proofErr w:type="spellStart"/>
      <w:r w:rsidRPr="007E17BF">
        <w:rPr>
          <w:rFonts w:ascii="Times New Roman" w:eastAsia="Times New Roman" w:hAnsi="Times New Roman"/>
          <w:color w:val="231F20"/>
          <w:sz w:val="20"/>
          <w:szCs w:val="20"/>
          <w:lang w:eastAsia="hr-HR"/>
        </w:rPr>
        <w:t>Nepostupanje</w:t>
      </w:r>
      <w:proofErr w:type="spellEnd"/>
      <w:r w:rsidRPr="007E17BF">
        <w:rPr>
          <w:rFonts w:ascii="Times New Roman" w:eastAsia="Times New Roman" w:hAnsi="Times New Roman"/>
          <w:color w:val="231F20"/>
          <w:sz w:val="20"/>
          <w:szCs w:val="20"/>
          <w:lang w:eastAsia="hr-HR"/>
        </w:rPr>
        <w:t xml:space="preserve"> po rješenju iz stavka 2. ovoga članka zbog neopravdanog razloga je teška povreda službene dužnosti čelnika upravnog tijela, čelnika stručnog upravnog tijela u skladu sa Zakonom o službenicima i namještenicima u lokalnoj i područnoj (regionalnoj) samoupravi.</w:t>
      </w:r>
    </w:p>
    <w:p w14:paraId="755DD4A4"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Izricanje novčane kazne u svrhu otklanjanja nezakonitosti</w:t>
      </w:r>
    </w:p>
    <w:p w14:paraId="2BB37DD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227.</w:t>
      </w:r>
    </w:p>
    <w:p w14:paraId="1FF0291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Ako jedinica lokalne ili područne (regionalne) samouprave, upravno tijelo, stručno upravno tijelo, zavod, pravna osoba s javnim ovlastima, pravna osoba koja obavlja stručne poslove prostornog uređenja ne postupi po rješenju Ministarstva iz članka 226. stavka 2. ovoga Zakona, na postupanje će se prisiliti novčanom kaznom.</w:t>
      </w:r>
    </w:p>
    <w:p w14:paraId="5B64BB08" w14:textId="77777777" w:rsid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 svrhu prisile na izvršenje rješenja tijela jedinice lokalne i područne (regionalne) samouprave, upravnog tijela i stručnog upravnog tijela, novčana kazna iz stavka 1. ovoga članka izriče se jedinici lokalne odnosno područne (regionalne) samouprave čije je to tijelo.</w:t>
      </w:r>
    </w:p>
    <w:p w14:paraId="64AA8AC5" w14:textId="77777777" w:rsidR="00146C31" w:rsidRPr="007E17BF" w:rsidRDefault="00146C31"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426808C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Visina novčane kazne u svrhu otklanjanja nezakonitosti</w:t>
      </w:r>
    </w:p>
    <w:p w14:paraId="2C25C98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228.</w:t>
      </w:r>
    </w:p>
    <w:p w14:paraId="40B231D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Novčana kazna iz članka 227. stavka 1. ovoga Zakona može se izreći u iznosu od 3000,00 do 6000,00 eura.</w:t>
      </w:r>
    </w:p>
    <w:p w14:paraId="0F2DE19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 slučaju daljnjeg neispunjavanja obveze izreći će se druga, veća novčana kazna unutar utvrđenog raspona iz stavka 1. ovoga članka. Ako je potrebno, novčana kazna može se izreći i više puta.</w:t>
      </w:r>
    </w:p>
    <w:p w14:paraId="6E3510D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Pokretanje postupka zbog teške povrede službene dužnosti</w:t>
      </w:r>
    </w:p>
    <w:p w14:paraId="04D3C28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229.</w:t>
      </w:r>
    </w:p>
    <w:p w14:paraId="4ADB68C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Postupak zbog teške povrede službene dužnosti službenika jedinice lokalne ili područne (regionalne) samouprave, upravnog tijela, stručnog upravnog tijela, zavoda, pravne osobe s javnim ovlastima, propisane ovim Zakonom ili posebnim propisom, uočene u provedbi nadzora nad provedbom ovoga Zakona, pokreće se po zahtjevu ministra.</w:t>
      </w:r>
    </w:p>
    <w:p w14:paraId="5E4F4DB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Ako se u nadzoru utvrdi da je povrijeđen ovaj Zakon i/ili propis donesen na temelju ovoga Zakona, Ministarstvo ima pravo i obvezu podnijeti optužni prijedlog ili kaznenu prijavu.</w:t>
      </w:r>
    </w:p>
    <w:p w14:paraId="2364705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Mogućnost poništenja ili izmjene rješenja Ministarstva tijekom upravnog spora</w:t>
      </w:r>
    </w:p>
    <w:p w14:paraId="5F37A3A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230.</w:t>
      </w:r>
    </w:p>
    <w:p w14:paraId="748E583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Kada je protiv rješenja Ministarstva pokrenut upravni spor, Ministarstvo može do okončanja spora poništiti ili izmijeniti svoje rješenje zbog onih razloga zbog kojih bi sud mogao poništiti takvo rješenje.</w:t>
      </w:r>
    </w:p>
    <w:p w14:paraId="13DC382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Usklađivanje nesuglasnosti kartografskih prikaza i odredbi za provedbu plana</w:t>
      </w:r>
    </w:p>
    <w:p w14:paraId="02635DA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231.</w:t>
      </w:r>
    </w:p>
    <w:p w14:paraId="390BB01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Neusklađenost između kartografskih prikaza i odredbi za provedbu plana ne može se ispravljati ispravkom pogreške u kartografskom prikazu.</w:t>
      </w:r>
    </w:p>
    <w:p w14:paraId="106E806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 slučaju nesuglasnosti kartografskog prikaza s odredbama za provedbu prostornog plana, nositelj izrade prostornog plana bez odgode inicira postupak izmjena ili dopuna prostornog plana radi usklađenja kartografskog prikaza i odredbi za provedbu plana.</w:t>
      </w:r>
    </w:p>
    <w:p w14:paraId="2CBF14CE" w14:textId="77777777" w:rsidR="00146C31" w:rsidRDefault="00146C31"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7A41B6ED" w14:textId="34C0122B" w:rsidR="007E17BF" w:rsidRPr="007E17BF" w:rsidRDefault="007E17BF" w:rsidP="00146C31">
      <w:pPr>
        <w:pStyle w:val="Naslov3"/>
        <w:rPr>
          <w:lang w:eastAsia="hr-HR"/>
        </w:rPr>
      </w:pPr>
      <w:bookmarkStart w:id="32" w:name="_Toc219166949"/>
      <w:r w:rsidRPr="007E17BF">
        <w:rPr>
          <w:lang w:eastAsia="hr-HR"/>
        </w:rPr>
        <w:t>DIO JEDANAESTI</w:t>
      </w:r>
      <w:r w:rsidR="00146C31">
        <w:rPr>
          <w:lang w:eastAsia="hr-HR"/>
        </w:rPr>
        <w:t xml:space="preserve">   </w:t>
      </w:r>
      <w:r w:rsidRPr="007E17BF">
        <w:rPr>
          <w:lang w:eastAsia="hr-HR"/>
        </w:rPr>
        <w:t>PREKRŠAJNE ODREDBE</w:t>
      </w:r>
      <w:bookmarkEnd w:id="32"/>
    </w:p>
    <w:p w14:paraId="4613A06D"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Prekršaj nositelja izrade prostornog plana</w:t>
      </w:r>
    </w:p>
    <w:p w14:paraId="79FE590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232.</w:t>
      </w:r>
    </w:p>
    <w:p w14:paraId="2DAA3CC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Novčanom kaznom u iznosu od 5000,00 do 15.000,00 eura kaznit će se za prekršaj pravna osoba u svojstvu nositelja izrade prostornog plana ili koordinatora izrade prostornog plana ako izrađuje i/ili omogući izradu dokumenata prostornog uređenja protivno odredbama članaka od 43. do 135. ovoga Zakona.</w:t>
      </w:r>
    </w:p>
    <w:p w14:paraId="76EB8DF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Za prekršaj iz stavka 1. ovoga članka kaznit će se novčanom kaznom od 1000,00 do 5000,00 eura i odgovorna osoba u pravnoj osobi nositelja izrade ili koordinatora izrade prostornog plana.</w:t>
      </w:r>
    </w:p>
    <w:p w14:paraId="45B2227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Novčanom kaznom u iznosu od 5000,00 do 10.000,00 eura kaznit će se za prekršaj pravna osoba u svojstvu nositelja izrade prostornog plana ili koordinatora izrade prostornog plana koja od stručnog izrađivača zahtijeva izradu stručnog rješenja prostornog plana koje je protivno načelima i standardima prostornog planiranja i/ili Zakonu.</w:t>
      </w:r>
    </w:p>
    <w:p w14:paraId="5DE1BC4C"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Za prekršaj iz stavka 3. ovoga članka kaznit će se novčanom kaznom od 1000,00 do 5000,00 eura i odgovorna osoba u pravnoj osobi nositelja izrade ili koordinatora izrade prostornog plana.</w:t>
      </w:r>
    </w:p>
    <w:p w14:paraId="380193D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Novčanom kaznom u iznosu 1000,00 do 2500,00 eura kaznit će se za prekršaj pravna osoba u svojstvu nositelja izrade prostornog plana koja ne dostavi u određenom roku na uvid sve podatke i dokumentaciju potrebnu u provedbi nadzora.</w:t>
      </w:r>
    </w:p>
    <w:p w14:paraId="2F92607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Za prekršaj iz stavka 5. ovoga članka kaznit će se novčanom kaznom u iznosu od 500,00 do 1000,00 eura i odgovorna osoba u pravnoj osobi nositelja izrade prostornog plana.</w:t>
      </w:r>
    </w:p>
    <w:p w14:paraId="1D8BDDF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Prekršaj stručnog izrađivača prostornog plana</w:t>
      </w:r>
    </w:p>
    <w:p w14:paraId="19CF4F0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233.</w:t>
      </w:r>
    </w:p>
    <w:p w14:paraId="4117BAE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Novčanom kaznom u iznosu od 5000,00 do 15.000,00 eura kaznit će se za prekršaj pravna osoba u svojstvu stručnog izrađivača prostornog plana ako izradi nacrt prijedloga prostornog plana protivno odredbama članaka od 7. do 18. ovoga Zakona ili odredbama članaka od 43. do 107. ovoga Zakona ili ako ne ispunjava uvjete propisane posebnim propisima kojima se uređuje obavljanje djelatnosti prostornog uređenja.</w:t>
      </w:r>
    </w:p>
    <w:p w14:paraId="4668FC7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Za prekršaj iz stavka 1. ovoga članka kaznit će se novčanom kaznom od 1000,00 do 5000,00 eura i odgovorna osoba (odgovorni voditelj) u pravnoj osobi.</w:t>
      </w:r>
    </w:p>
    <w:p w14:paraId="44AA39F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Novčanom kaznom u iznosu od 5000,00 do 10.000,00 eura kaznit će se za prekršaj pravna osoba u svojstvu stručnog izrađivača prostornog plana ako izradi nacrt konačnog prijedloga prostornog plana koji nije usklađen na način propisan člankom 85. ovoga Zakona.</w:t>
      </w:r>
    </w:p>
    <w:p w14:paraId="517DD52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(4) Za prekršaj neusklađenosti iz stavka 3. ovoga članka, pravna osoba u svojstvu stručnog izrađivača prostornog plana kaznit će se novčanom kaznom u iznosu od 25.000,00 eura ako se taj prostorni plan nalazi u ZOP-u.</w:t>
      </w:r>
    </w:p>
    <w:p w14:paraId="636703A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Novčanom kaznom u iznosu od 1000,00 do 2500,00 eura kaznit će se za prekršaj pravna ili fizička osoba koja ne dostavi u određenom roku na uvid sve podatke i dokumentaciju potrebnu u provedbi nadzora.</w:t>
      </w:r>
    </w:p>
    <w:p w14:paraId="0203BFE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Za prekršaj iz stavka 5. ovoga članka kaznit će se novčanom kaznom u iznosu od 500,00 do 1000,00 eura i odgovorna osoba u pravnoj osobi.</w:t>
      </w:r>
    </w:p>
    <w:p w14:paraId="64E627D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Novčanom kaznom od 2500,00 do 6500,00 eura kaznit će se fizička osoba za prekršaje iz stavaka 1., 3. i 4. ovoga članka.</w:t>
      </w:r>
    </w:p>
    <w:p w14:paraId="6C93F11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(8) Svi prekršaji navedeni u ovom članku smatraju se teškom povredom dužnosti i ugleda profesije stručnog izrađivača odnosno odgovornog voditelja.</w:t>
      </w:r>
    </w:p>
    <w:p w14:paraId="029441B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Prekršaj osobe koja provodi zahvat u prostoru</w:t>
      </w:r>
    </w:p>
    <w:p w14:paraId="0CA8EA6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234.</w:t>
      </w:r>
    </w:p>
    <w:p w14:paraId="4735801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Novčanom kaznom u iznosu od 5000,00 do 15.000,00 eura kaznit će se za prekršaj pravna osoba koja pristupi provedbi zahvata u prostoru koji se prema posebnim propisima kojima se uređuje gradnja ne smatraju građenjem bez izvršne lokacijske dozvole ili zahvat u prostoru ne provodi u skladu s tom dozvolom sukladno članku 186. stavcima 1. i 2. ovoga Zakona.</w:t>
      </w:r>
    </w:p>
    <w:p w14:paraId="6A7F907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Novčanom kaznom od 2500,00 do 6500,00 eura kaznit će se fizička osoba za prekršaje iz stavka 1. ovoga članka.</w:t>
      </w:r>
    </w:p>
    <w:p w14:paraId="3AD616E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Prekršaji projektanta</w:t>
      </w:r>
    </w:p>
    <w:p w14:paraId="42393E1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235.</w:t>
      </w:r>
    </w:p>
    <w:p w14:paraId="290FA53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Novčanom kaznom u iznosu od 2500,00 do 6500,00 eura kaznit će se za prekršaj fizička osoba u svojstvu projektanta ako izradi idejni projekt protivno odredbama članaka od 158. do 167. ovoga Zakona, uvjetima za provedbu zahvata u prostoru propisanim prostornim planom, posebnim propisima, posebnim uvjetima ili ako su njegovi pojedini dijelovi međusobno neusklađeni.</w:t>
      </w:r>
    </w:p>
    <w:p w14:paraId="41791534" w14:textId="77777777" w:rsidR="00146C31" w:rsidRDefault="00146C31"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5842E76E" w14:textId="78C79320" w:rsidR="007E17BF" w:rsidRPr="007E17BF" w:rsidRDefault="007E17BF" w:rsidP="00146C31">
      <w:pPr>
        <w:pStyle w:val="Naslov3"/>
        <w:rPr>
          <w:lang w:eastAsia="hr-HR"/>
        </w:rPr>
      </w:pPr>
      <w:bookmarkStart w:id="33" w:name="_Toc219166950"/>
      <w:r w:rsidRPr="007E17BF">
        <w:rPr>
          <w:lang w:eastAsia="hr-HR"/>
        </w:rPr>
        <w:t>DIO DVANAESTI</w:t>
      </w:r>
      <w:r w:rsidR="00146C31">
        <w:rPr>
          <w:lang w:eastAsia="hr-HR"/>
        </w:rPr>
        <w:t xml:space="preserve">   </w:t>
      </w:r>
      <w:r w:rsidRPr="007E17BF">
        <w:rPr>
          <w:lang w:eastAsia="hr-HR"/>
        </w:rPr>
        <w:t>PRIJELAZNE I ZAVRŠNE ODREDBE</w:t>
      </w:r>
      <w:bookmarkEnd w:id="33"/>
    </w:p>
    <w:p w14:paraId="19B551BD"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Započeti postupci izrade i donošenja prostornih planova</w:t>
      </w:r>
    </w:p>
    <w:p w14:paraId="5C0D6CE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236.</w:t>
      </w:r>
    </w:p>
    <w:p w14:paraId="0A18422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Postupci izrade i donošenja prostornih planova odnosno njihovih izmjena i dopuna započeti prema odredbama Zakona o prostornom uređenju i gradnji (»Narodne novine« br. 76/07., 38/09., 55/11., 90/11., 50/12. i 55/12.) za koje nije donesena odluka o donošenju prostornog plana obustavljaju se danom stupanja na snagu ovoga Zakona, a odluke o izradi prostornih planova na temelju kojih su se provodili stavljaju se izvan snage.</w:t>
      </w:r>
    </w:p>
    <w:p w14:paraId="5FAD756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Postupci izrade i donošenja prostornih planova odnosno njihovih izmjena i dopuna započeti do 31. prosinca 2023. prema odredbama Zakona o prostornom uređenju (»Narodne novine« br. 153/13., 65/17., 114/18., 39/19., 98/19. i 67/23.) dovršit će se sukladno odredbama toga Zakona.</w:t>
      </w:r>
    </w:p>
    <w:p w14:paraId="1C7ED27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Postupci transformacije prostornih planova i izrada i donošenja prostornih planova odnosno njihovih izmjena i dopuna započeti od 1. siječnja 2024. prema odredbama Zakona o izmjenama i dopunama Zakona o prostornom uređenju (»Narodne novine« br. 67/23.) dovršit će se sukladno odredbama Zakona o prostornom uređenju (»Narodne novine« br. 153/13., 65/17., 114/18., 39/19., 98/19. i 67/23.).</w:t>
      </w:r>
    </w:p>
    <w:p w14:paraId="485C8FA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Postupci iz stavaka 2. i 3. ovoga članka obustavljaju se i odluke o izradi prostornih planova te odluke o transformaciji na temelju kojih se izrađuju stavljaju se izvan snage istekom roka od sedam godina od dana stupanja na snagu ovoga Zakona.</w:t>
      </w:r>
    </w:p>
    <w:p w14:paraId="21FF8F2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(5) Rokovi određeni stavkom 4. ovoga članka ne odnose se na prostorne planove državne razine, prostorne planove područja posebnih obilježja koje su donijele županijske skupštine niti na prostorne planove za koje su se postupci izrade, transformacije ili izmjene i dopune, do donošenja ovoga Zakona, proveli ili se vode kroz sustav </w:t>
      </w:r>
      <w:proofErr w:type="spellStart"/>
      <w:r w:rsidRPr="007E17BF">
        <w:rPr>
          <w:rFonts w:ascii="Times New Roman" w:eastAsia="Times New Roman" w:hAnsi="Times New Roman"/>
          <w:color w:val="231F20"/>
          <w:sz w:val="20"/>
          <w:szCs w:val="20"/>
          <w:lang w:eastAsia="hr-HR"/>
        </w:rPr>
        <w:t>ePlanovi</w:t>
      </w:r>
      <w:proofErr w:type="spellEnd"/>
      <w:r w:rsidRPr="007E17BF">
        <w:rPr>
          <w:rFonts w:ascii="Times New Roman" w:eastAsia="Times New Roman" w:hAnsi="Times New Roman"/>
          <w:color w:val="231F20"/>
          <w:sz w:val="20"/>
          <w:szCs w:val="20"/>
          <w:lang w:eastAsia="hr-HR"/>
        </w:rPr>
        <w:t>, a nisu doneseni.</w:t>
      </w:r>
    </w:p>
    <w:p w14:paraId="642469D7"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Dokumenti prostornog uređenja</w:t>
      </w:r>
    </w:p>
    <w:p w14:paraId="63FD5BA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237.</w:t>
      </w:r>
    </w:p>
    <w:p w14:paraId="09B2343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Danom stupanja na snagu Državnog plana prostornog razvoja iz članka 93. ovoga Zakona prestaje važiti Program prostornog uređenja Republike Hrvatske (»Narodne novine« br. 50/99. i 84/13.) u dijelu u kojem se uređuju područja koja su uređena Državnim planom prostornog razvoja.</w:t>
      </w:r>
    </w:p>
    <w:p w14:paraId="148A094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Danom stupanja na snagu Prostornog plana isključivoga gospodarskog pojasa Republike Hrvatske u Jadranskom moru prestaje važiti Program prostornog uređenja Republike Hrvatske (»Narodne novine« br. 50/99. i 84/13.) u dijelu u kojem se uređuju područja koja su uređena Prostornim planom isključivoga gospodarskog pojasa Republike Hrvatske u Jadranskom moru.</w:t>
      </w:r>
    </w:p>
    <w:p w14:paraId="0E93E1B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(3) Strategija prostornog razvoja Republike Hrvatske (»Narodne novine« br. 106/17.) primjenjuje se do donošenja Strategije sukladno članku 76. stavku 3. ovoga Zakona.</w:t>
      </w:r>
    </w:p>
    <w:p w14:paraId="5A45C31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Prostorni planovi županija doneseni prije stupanja na snagu ovoga Zakona smatraju se strateškim planovima u svom sadržaju, osim u dijelovima koji su određeni za neposrednu provedbu zahvata u prostoru ili u slučaju kada se za zahvate u prostoru odredio državni i/ili županijski značaj sukladan uredbi iz članka 79. stavka 2. ovoga Zakona.</w:t>
      </w:r>
    </w:p>
    <w:p w14:paraId="41599B3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Prostorni planovi doneseni do stupanja na snagu ovoga Zakona mijenjaju se i dopunjavaju u skladu s razinama prostornih planova određenima ovim Zakonom.</w:t>
      </w:r>
    </w:p>
    <w:p w14:paraId="25A3D19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Rok za donošenje prostornih planova</w:t>
      </w:r>
    </w:p>
    <w:p w14:paraId="18AB5995"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238.</w:t>
      </w:r>
    </w:p>
    <w:p w14:paraId="00985B8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Danom stupanja na snagu ovoga Zakona, za prostorne planove donesene na temelju Zakona o prostornom uređenju (»Narodne novine« br. 30/94., 68/98., 35/99., 61/00., 32/02. i 100/04.), Zakona o prostornom uređenju i gradnji (»Narodne novine« br. 76/07., 38/09., 55/11., 90/11., 50/12. i 55/12.) i Zakona o prostornom uređenju (»Narodne novine« br. 153/13., 65/17., 114/18., 39/19., 98/19. i 67/23.) ne može se donijeti odluka o izradi njihovih izmjena i dopuna, osim kao prostornih planova nove generacije.</w:t>
      </w:r>
    </w:p>
    <w:p w14:paraId="6FFD39C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Prostorni planovi iz stavka l. ovoga članka prestaju važiti u roku od sedam godina od dana stupanja na snagu ovoga Zakona.</w:t>
      </w:r>
    </w:p>
    <w:p w14:paraId="609EE71A"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U roku iz stavka 2. ovoga članka potrebno je donijeti nove prostorne planove sukladno odredbama ovoga Zakona.</w:t>
      </w:r>
    </w:p>
    <w:p w14:paraId="4B14CB6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Prostorni planovi kojima se planiraju igrališta za golf moraju se uskladiti s odredbama ovoga Zakona u roku od pet godina od dana stupanja na snagu ovoga Zakona tako da se površina igrališta za golf koja je bila uključena u građevinsko područje ne može prostorno preraspodijeliti u novo građevinsko područje.</w:t>
      </w:r>
    </w:p>
    <w:p w14:paraId="77CC0B0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(5) Odredbe ovoga članka ne odnose se na prostorne planove državne razine, prostorne planove područja posebnih obilježja koje su donijele županijske skupštine niti na prostorne planove za koje su se postupci izrade, transformacije ili izmjene i dopune te donošenja, do donošenja ovoga Zakona, proveli ili se vode kroz sustav </w:t>
      </w:r>
      <w:proofErr w:type="spellStart"/>
      <w:r w:rsidRPr="007E17BF">
        <w:rPr>
          <w:rFonts w:ascii="Times New Roman" w:eastAsia="Times New Roman" w:hAnsi="Times New Roman"/>
          <w:color w:val="231F20"/>
          <w:sz w:val="20"/>
          <w:szCs w:val="20"/>
          <w:lang w:eastAsia="hr-HR"/>
        </w:rPr>
        <w:t>ePlanovi</w:t>
      </w:r>
      <w:proofErr w:type="spellEnd"/>
      <w:r w:rsidRPr="007E17BF">
        <w:rPr>
          <w:rFonts w:ascii="Times New Roman" w:eastAsia="Times New Roman" w:hAnsi="Times New Roman"/>
          <w:color w:val="231F20"/>
          <w:sz w:val="20"/>
          <w:szCs w:val="20"/>
          <w:lang w:eastAsia="hr-HR"/>
        </w:rPr>
        <w:t>.</w:t>
      </w:r>
    </w:p>
    <w:p w14:paraId="69CFF8D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Stupanje na snagu Državnog plana prostornog razvoja i prostornih planova županija</w:t>
      </w:r>
    </w:p>
    <w:p w14:paraId="6A8B10B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239.</w:t>
      </w:r>
    </w:p>
    <w:p w14:paraId="740D6C4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Do stupanja na snagu Državnog plana prostornog razvoja iz članka 93. ovoga Zakona, prostorni planovi županija odnosno Grada Zagreba koji se donose prema ovom Zakonu izrađuju se tako da se u njima planiraju zahvati u prostoru i građevine infrastrukturne namjene od državnog i područnog (regionalnog) značaja.</w:t>
      </w:r>
    </w:p>
    <w:p w14:paraId="41FF2520"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Do stupanja na snagu Državnog plana prostornog razvoja iz članka 93. ovoga Zakona, akti za provedbu zahvata u prostoru za zahvate linijske infrastrukture od državnog značaja izdaju se na temelju prostornog plana županije odnosno Grada Zagreba.</w:t>
      </w:r>
    </w:p>
    <w:p w14:paraId="74400DE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Izrada izvješća o stanju u prostoru</w:t>
      </w:r>
    </w:p>
    <w:p w14:paraId="5862F3A5"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240.</w:t>
      </w:r>
    </w:p>
    <w:p w14:paraId="6729E3C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Zavod za prostorni razvoj, zavodi i stručna upravna tijela općina, gradova i velikih gradova dužni su izraditi odnosno osigurati izradu izvješća o stanju u prostoru radi upućivanja na razmatranje nadležnom tijelu u roku od tri godine od dana stupanja na snagu ovoga Zakona.</w:t>
      </w:r>
    </w:p>
    <w:p w14:paraId="4D13ECC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Postupci urbane komasacije</w:t>
      </w:r>
    </w:p>
    <w:p w14:paraId="10709ECA"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241.</w:t>
      </w:r>
    </w:p>
    <w:p w14:paraId="4B8859D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Postupci urbane komasacije započeti prema odredbama Zakona o prostornom uređenju i gradnji (»Narodne novine« br. 76/07., 38/09., 55/11., 90/11., 50/12. i 55/12.) za koje nije doneseno rješenje o komasaciji obustavljaju se danom stupanja na snagu ovoga Zakona.</w:t>
      </w:r>
    </w:p>
    <w:p w14:paraId="48EB584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Postupci izrade i donošenja urbanističkog projekta iz članka 151. stavka 2. točke 3. ovoga Zakona koje pokreće javni investitor, mogu se pokrenuti i za područja unutar urbanističkih planova uređenja donesenih prije stupanja na snagu ovoga Zakona koji u svom sadržaju nemaju određeno područje urbane komasacije.</w:t>
      </w:r>
    </w:p>
    <w:p w14:paraId="07A5BCF0"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Započeti postupci izdavanja akata</w:t>
      </w:r>
    </w:p>
    <w:p w14:paraId="7C4DF84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242.</w:t>
      </w:r>
    </w:p>
    <w:p w14:paraId="563BE69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Postupci izdavanja akata za provedbu prostornih planova započeti prema Zakonu o prostornom uređenju (»Narodne novine« br. 153/13., 65/17., 114/18., 39/19., 98/19. i 67/23.) do dana stupanja na snagu ovoga Zakona dovršit će se sukladno odredbama toga Zakona.</w:t>
      </w:r>
    </w:p>
    <w:p w14:paraId="5309D3F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Idejni projekt u svrhu čije izrade su posebni uvjeti i uvjeti priključenja utvrđeni u postupku započetom prije stupanja na snagu ovoga Zakona izrađuje se na temelju Zakona o prostornom uređenju (»Narodne novine« br. 153/13., 65/17., 114/18., 39/19., 98/19. i 67/23.) i prilažu se uz zahtjev za izdavanje lokacijske dozvole u roku od šest mjeseci od dana stupanja na snagu ovoga Zakona.</w:t>
      </w:r>
    </w:p>
    <w:p w14:paraId="3B14C16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(3) Građevine obnovljivih izvora energije za koje je do dana stupanja na snagu ovoga Zakona podnesen zahtjev za izdavanje rješenja iz područja zaštite okoliša i prirode, izdano rješenje ili ishođeno energetsko odobrenje, mogu se graditi na površinama propisanima Zakonom o prostornom uređenju (»Narodne novine« br. 153/13., 65/17., 114/18., </w:t>
      </w:r>
      <w:r w:rsidRPr="007E17BF">
        <w:rPr>
          <w:rFonts w:ascii="Times New Roman" w:eastAsia="Times New Roman" w:hAnsi="Times New Roman"/>
          <w:color w:val="231F20"/>
          <w:sz w:val="20"/>
          <w:szCs w:val="20"/>
          <w:lang w:eastAsia="hr-HR"/>
        </w:rPr>
        <w:lastRenderedPageBreak/>
        <w:t>39/19., 98/19. i 67/23.) ako se zahtjev za izdavanje lokacijske dozvole podnese u roku od pet godina od dana stupanja na snagu ovoga Zakona.</w:t>
      </w:r>
    </w:p>
    <w:p w14:paraId="264B979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Za igrališta za golf za koje je do dana stupanja na snagu ovoga Zakona donesen urbanistički plan uređenja, izdana lokacijska dozvola ili potpisan ugovor o realizaciji projekta na zemljištu u vlasništvu Republike Hrvatske sukladno provedenom natječaju, pri realizaciji zahvata igrališta za golf primjenjuju se odredbe ovoga Zakona, a građevine ugostiteljsko-turističke namjene zadržavaju se unutar površina određenih urbanističkim planom uređenja, lokacijskom dozvolom ili potpisanim ugovorom o realizaciji projekta.</w:t>
      </w:r>
    </w:p>
    <w:p w14:paraId="3D03E854"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Lokacijska dozvola i ugostiteljsko-turističke građevine</w:t>
      </w:r>
    </w:p>
    <w:p w14:paraId="59F4C23E"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243.</w:t>
      </w:r>
    </w:p>
    <w:p w14:paraId="1DCCBBA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Lokacijska dozvola koju je izdalo upravno tijelo na temelju Zakona o prostornom uređenju (»Narodne novine« br. 153/13., 65/17., 114/18., 39/19., 98/19. i 67/23.) važi četiri godine od dana pravomoćnosti dozvole ako prema odredbama toga Zakona nije prestala važiti do dana stupanja na snagu ovoga Zakona.</w:t>
      </w:r>
    </w:p>
    <w:p w14:paraId="524814E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Lokacijska dozvola koju je izdalo Ministarstvo na temelju Zakona o prostornom uređenju (»Narodne novine« br. 153/13., 65/17., 114/18., 39/19., 98/19. i 67/23.) važi šest godina od dana pravomoćnosti dozvole ako prema odredbama toga Zakona nije prestala važiti do dana stupanja na snagu ovoga Zakona.</w:t>
      </w:r>
    </w:p>
    <w:p w14:paraId="3256482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 xml:space="preserve">(3) Za građevine ugostiteljsko-turističke namjene za koje je do dana stupanja na snagu ovoga Zakona izdana lokacijska dozvola odnosno podnesen zahtjev za izdavanje lokacijske dozvole ili za zone ugostiteljsko-turističke namjene za koje je do dana stupanja na snagu ovoga Zakona donesen urbanistički plan uređenja odnosno pokrenut postupak izrade urbanističkog plana uređenja, odnosno njegovih izmjena i dopuna, </w:t>
      </w:r>
      <w:proofErr w:type="spellStart"/>
      <w:r w:rsidRPr="007E17BF">
        <w:rPr>
          <w:rFonts w:ascii="Times New Roman" w:eastAsia="Times New Roman" w:hAnsi="Times New Roman"/>
          <w:color w:val="231F20"/>
          <w:sz w:val="20"/>
          <w:szCs w:val="20"/>
          <w:lang w:eastAsia="hr-HR"/>
        </w:rPr>
        <w:t>etažiranje</w:t>
      </w:r>
      <w:proofErr w:type="spellEnd"/>
      <w:r w:rsidRPr="007E17BF">
        <w:rPr>
          <w:rFonts w:ascii="Times New Roman" w:eastAsia="Times New Roman" w:hAnsi="Times New Roman"/>
          <w:color w:val="231F20"/>
          <w:sz w:val="20"/>
          <w:szCs w:val="20"/>
          <w:lang w:eastAsia="hr-HR"/>
        </w:rPr>
        <w:t xml:space="preserve"> iz članka 68. ovoga Zakona i gradnja u pojasu od 25 do 100 metara u izdvojenim građevinskim područjima izvan naselja ugostiteljsko-turističke namjene iz članka 65. stavka 1. točke 2. ovoga Zakona se može provesti po propisima koji su vrijedili na dan izdavanja lokacijske dozvole ili na dan donošenja urbanističkog plana uređenja odnosno odluke o izradi urbanističkog plana uređenja ili njegovih izmjena i dopuna.</w:t>
      </w:r>
    </w:p>
    <w:p w14:paraId="331A7AB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Kampovi koji na dan stupanja na snagu ovoga Zakona imaju važeće rješenje o ispunjavanju uvjeta za pružanje ugostiteljske djelatnosti izdano od ministarstva nadležnog za turizam u skladu s propisima iz područja turizma, a nalaze se na građevinskom području ugostiteljsko-turističke namjene određene prostornim planom ili na području koje je na dan izdavanja toga rješenja bilo određeno prostornim planom kao građevinsko područje ugostiteljsko-turističke namjene, zadržavaju se u prostoru do deset godina od dana stupanja na snagu ovoga Zakona.</w:t>
      </w:r>
    </w:p>
    <w:p w14:paraId="19E1F4E7"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Modularno-montažne kućice (pokretne kućice) te druge građevine i zahvati u prostoru smještene unutar kampa iz stavka 4. ovoga članka neovisno o tome ima li kamp izdano važeće rješenje o ispunjavanju uvjeta za pružanje ugostiteljske djelatnosti, a smještene su u pojasu 25 metara od obalne crte, moraju se ukloniti u roku od pet godina od dana stupanja na snagu ovoga Zakona.</w:t>
      </w:r>
    </w:p>
    <w:p w14:paraId="0C7D0D8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Iznimno od stavka 4. ovoga članka, zadržavaju se kampovi iz stavka 4. ovoga članka uz uvjet da u roku od deset godina od stupanja na snagu ovoga Zakona unaprijede stanje u prostoru kampa tako da se osigura najmanje 40 % ukupne površine kampa kao parkovni nasadi i/ili prirodno zelenilo, najveća dopuštena izgrađenost do 30 % građevina i modularno-montažnih kućica, neovisno o tome jesu li čvrsto povezane s tlom, uz ravnomjernu raspoređenost zelenih i prometnih sadržaja u kampu kao cjelini, u skladu s člankom 79. stavkom 3. ovoga Zakona.</w:t>
      </w:r>
    </w:p>
    <w:p w14:paraId="347C8BB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Za kamp iz stavka 4. ovoga članka, kao složeni zahvat u prostoru, za koji se provodi unapređenje stanja u prostoru iz stavka 6. ovoga članka potrebno je ishoditi lokacijsku dozvolu kojom se određuje smještaj svih dijelova zahvata u prostoru, kao i položaj modularno-montažnih kućica (pokretne kućice). Na postavljanje modularno-montažnih kućica (pokretne kućice) za koje je položaj određen tom lokacijskom dozvolom primjenjuju se propisi iz područja gradnje kojima se određuje da se građenju građevina i izvođenju radova pristupa bez građevinske dozvole.</w:t>
      </w:r>
    </w:p>
    <w:p w14:paraId="2908FAF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(8) Za kampove iz stavka 7. ovoga članka na koje se primjenjuje Zakon o neprocijenjenom građevinskom zemljištu (»Narodne novine« br. 50/20.) može se izdati lokacijska dozvola i bez utvrđene granice pomorskog dobra u skladu s uvjetima iz članka 67. stavka 1. ovoga Zakona na minimalnoj udaljenosti od 25 m od obalne crte.</w:t>
      </w:r>
    </w:p>
    <w:p w14:paraId="5890CFDD"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Izmjena, dopuna i poništenje lokacijske dozvole</w:t>
      </w:r>
    </w:p>
    <w:p w14:paraId="46832DF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244.</w:t>
      </w:r>
    </w:p>
    <w:p w14:paraId="3187776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Lokacijska dozvola izdana na temelju Zakona o prostornom uređenju (»Narodne novine« br. 30/94., 68/98., 61/00., 32/02. i 100/04.), Zakona o prostornom uređenju i gradnji (»Narodne novine« br. 76/07., 38/09., 55/11., 90/11., 50/12. i 55/12.) te Zakona o prostornom uređenju (»Narodne novine« br. 153/13., 65/17., 114/18., 39/19., 98/19. i 67/23.) može se mijenjati, dopunjavati ili poništiti pod istim uvjetima kao i lokacijska dozvola donesena na temelju ovoga Zakona.</w:t>
      </w:r>
    </w:p>
    <w:p w14:paraId="34FBC0D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 postupku donošenja rješenja o izmjeni i/ili dopuni lokacijske dozvole iz stavka 1. ovoga Zakona za zahvate u prostoru unutar lučkih područja kojima se planira ili gradi lučka nadgradnja (</w:t>
      </w:r>
      <w:proofErr w:type="spellStart"/>
      <w:r w:rsidRPr="007E17BF">
        <w:rPr>
          <w:rFonts w:ascii="Times New Roman" w:eastAsia="Times New Roman" w:hAnsi="Times New Roman"/>
          <w:color w:val="231F20"/>
          <w:sz w:val="20"/>
          <w:szCs w:val="20"/>
          <w:lang w:eastAsia="hr-HR"/>
        </w:rPr>
        <w:t>suprastruktura</w:t>
      </w:r>
      <w:proofErr w:type="spellEnd"/>
      <w:r w:rsidRPr="007E17BF">
        <w:rPr>
          <w:rFonts w:ascii="Times New Roman" w:eastAsia="Times New Roman" w:hAnsi="Times New Roman"/>
          <w:color w:val="231F20"/>
          <w:sz w:val="20"/>
          <w:szCs w:val="20"/>
          <w:lang w:eastAsia="hr-HR"/>
        </w:rPr>
        <w:t>) smještena na morskom dijelu lučkog područja ne primjenjuje se članak 61. točka 10. ovoga Zakona.</w:t>
      </w:r>
    </w:p>
    <w:p w14:paraId="48CA61AF" w14:textId="77777777" w:rsidR="00146C31" w:rsidRDefault="00146C31"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35925972" w14:textId="77777777" w:rsidR="00146C31" w:rsidRDefault="00146C31"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69779E7F" w14:textId="77777777" w:rsidR="00146C31" w:rsidRDefault="00146C31"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3921FAEE" w14:textId="4A7E4706"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lastRenderedPageBreak/>
        <w:t>Zavodi</w:t>
      </w:r>
    </w:p>
    <w:p w14:paraId="67A45BD8"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245.</w:t>
      </w:r>
    </w:p>
    <w:p w14:paraId="27645014"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Zavod za prostorno uređenje županije, Zavod za prostorno uređenje Grada Zagreba odnosno zavod za prostorno uređenje grada, ustrojeni na temelju propisa koji su važili prije stupanja na snagu ovoga Zakona, nastavljaju s radom kao zavod za prostorno uređenje županije, Zavod za prostorno uređenje Grada Zagreba odnosno zavod za prostorno uređenje grada prema ovom Zakonu.</w:t>
      </w:r>
    </w:p>
    <w:p w14:paraId="4E60C43D"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Županije, Grad Zagreb i gradovi dužni su uskladiti akte o osnivanju i statute zavoda za prostorno uređenje županije, Zavoda za prostorno uređenje Grada Zagreba odnosno zavoda za prostorno uređenje grada u skladu s ovim Zakonom u roku od šest mjeseci od dana stupanja na snagu ovoga Zakona.</w:t>
      </w:r>
    </w:p>
    <w:p w14:paraId="7155421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Upravna tijela</w:t>
      </w:r>
    </w:p>
    <w:p w14:paraId="6ED5FFDD"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246.</w:t>
      </w:r>
    </w:p>
    <w:p w14:paraId="22C5BD7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Upravna tijela županija i velikih gradova nadležna za stručne i upravne poslove prostornog uređenja, ustrojena na temelju propisa koji su važili prije stupanja na snagu ovoga Zakona, nastavljaju s radom kao upravna tijela odnosno stručna upravna tijela županija i velikih gradova prema ovom Zakonu.</w:t>
      </w:r>
    </w:p>
    <w:p w14:paraId="1701712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Upravna tijela gradova i općina na koje je županija sukladno posebnom zakonu prenijela nadležnost za obavljanje upravnih poslova prostornog uređenja do dana stupanja na snagu ovoga Zakona nastavljaju s radom i imaju djelokrug i ovlasti upravnog tijela velikoga grada određene ovim Zakonom.</w:t>
      </w:r>
    </w:p>
    <w:p w14:paraId="2D5E4ACB"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Rokovi za donošenja i dostavu akata</w:t>
      </w:r>
    </w:p>
    <w:p w14:paraId="156829FC"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247.</w:t>
      </w:r>
    </w:p>
    <w:p w14:paraId="581F730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Hrvatski sabor donijet će Državni plan prostornog razvoja do 31. prosinca 2027. u skladu s člankom 132. stavkom 1. ovoga Zakona, a prostorni plan isključivoga gospodarskog pojasa do 31. prosinca 2026. u skladu s člankom 132. stavkom 1. ovoga Zakona.</w:t>
      </w:r>
    </w:p>
    <w:p w14:paraId="498C9C26"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Vlada će donijeti uredbe iz članka 36., članka 79. stavka 2., članka 138. stavka 14. i članka 151. stavka 4. ovoga Zakona u roku od 12 mjeseci od dana stupanja na snagu ovoga Zakona.</w:t>
      </w:r>
    </w:p>
    <w:p w14:paraId="324F380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Ministar će donijeti pravilnike iz članka 19. stavka 4., članka 40. stavka 4., članka 79. stavka 3., članka 89. stavka 5., članka 154. stavka 2. i članka 164. ovoga Zakona u roku od šest mjeseci od dana stupanja na snagu ovoga Zakona.</w:t>
      </w:r>
    </w:p>
    <w:p w14:paraId="2424E5F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Vlada će odluku iz članka 6. stavka 2. ovoga Zakona donijeti u roku od 12 mjeseci od dana stupanja na snagu ovoga Zakona.</w:t>
      </w:r>
    </w:p>
    <w:p w14:paraId="36971FE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Ministarstvo je dužno u roku od 60 dana od dana stupanja na snagu ovoga Zakona obavijestiti Europsku komisiju o donošenju ovoga Zakona.</w:t>
      </w:r>
    </w:p>
    <w:p w14:paraId="5EAECAD6"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Ostavljanje propisa na snazi</w:t>
      </w:r>
    </w:p>
    <w:p w14:paraId="72A8543F"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248.</w:t>
      </w:r>
    </w:p>
    <w:p w14:paraId="3EB4F34B"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Do stupanja na snagu propisa iz članka 247. stavaka 2., 3. i 4. ovoga Zakona ostaju na snazi:</w:t>
      </w:r>
    </w:p>
    <w:p w14:paraId="3EE64835"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1. Uredba o određivanju građevina, drugih zahvata u prostoru i površina državnog i područnog (regionalnog) značaja (»Narodne novine« br. 37/14., 154/14., 30/21., 75/22. i 61/23.)</w:t>
      </w:r>
    </w:p>
    <w:p w14:paraId="236CE96E"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2. Pravilnik o mjerama zaštite od elementarnih nepogoda i ratnih opasnosti u prostornom planiranju i uređivanju prostora (»Narodne novine« br. 29/83., 36/85. i 42/86.)</w:t>
      </w:r>
    </w:p>
    <w:p w14:paraId="2443E213"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3. Pravilnik o sadržaju i obveznim prostornim pokazateljima izvješća o stanju u prostoru (»Narodne novine« br. 48/14. i 19/15.)</w:t>
      </w:r>
    </w:p>
    <w:p w14:paraId="5B44C6D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4. Pravilnik o načinu izračuna građevinske (bruto) površine zgrade (»Narodne novine« br. 93/17.)</w:t>
      </w:r>
    </w:p>
    <w:p w14:paraId="788C50E9"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5. Pravilnik o zahvatima u prostoru koji se ne smatraju građenjem, a za koje se izdaje lokacijska dozvola (»Narodne novine« br. 105/17., 108/17. i 118/25.)</w:t>
      </w:r>
    </w:p>
    <w:p w14:paraId="3A08E6B1"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6. Pravilnik o prostornim planovima (»Narodne novine« br. 152/23.)</w:t>
      </w:r>
    </w:p>
    <w:p w14:paraId="0286EB72"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7. Pravilnik o obveznom sadržaju idejnog projekta (»Narodne novine« br. 92/24.).</w:t>
      </w:r>
    </w:p>
    <w:p w14:paraId="0D033169"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Prestanak važenja propisa</w:t>
      </w:r>
    </w:p>
    <w:p w14:paraId="4E8B3714"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249.</w:t>
      </w:r>
    </w:p>
    <w:p w14:paraId="4DCCD1FF"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Danom stupanja na snagu ovoga Zakona prestaje važiti Zakon o prostornom uređenju (»Narodne novine« br. 153/13., 65/17., 114/18., 39/19., 98/19. i 67/23.).</w:t>
      </w:r>
    </w:p>
    <w:p w14:paraId="45A10917"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Stupanje na snagu Zakona</w:t>
      </w:r>
    </w:p>
    <w:p w14:paraId="4DE68EF2" w14:textId="77777777" w:rsidR="007E17BF" w:rsidRPr="007E17BF" w:rsidRDefault="007E17BF" w:rsidP="007E17BF">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Članak 250.</w:t>
      </w:r>
    </w:p>
    <w:p w14:paraId="2106C0B8" w14:textId="77777777" w:rsidR="007E17BF" w:rsidRPr="007E17BF" w:rsidRDefault="007E17BF" w:rsidP="007E17BF">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7E17BF">
        <w:rPr>
          <w:rFonts w:ascii="Times New Roman" w:eastAsia="Times New Roman" w:hAnsi="Times New Roman"/>
          <w:color w:val="231F20"/>
          <w:sz w:val="20"/>
          <w:szCs w:val="20"/>
          <w:lang w:eastAsia="hr-HR"/>
        </w:rPr>
        <w:t>Ovaj Zakon objavit će se u »Narodnim novinama«, a stupa na snagu 1. siječnja 2026.</w:t>
      </w:r>
    </w:p>
    <w:p w14:paraId="25A29BAE" w14:textId="77777777" w:rsidR="007E17BF" w:rsidRPr="007E17BF" w:rsidRDefault="007E17BF" w:rsidP="007E17BF">
      <w:pPr>
        <w:spacing w:beforeLines="30" w:before="72" w:afterLines="30" w:after="72"/>
        <w:rPr>
          <w:rFonts w:ascii="Times New Roman" w:hAnsi="Times New Roman"/>
          <w:sz w:val="20"/>
          <w:szCs w:val="20"/>
        </w:rPr>
      </w:pPr>
    </w:p>
    <w:sectPr w:rsidR="007E17BF" w:rsidRPr="007E17BF" w:rsidSect="004205B2">
      <w:headerReference w:type="default" r:id="rId8"/>
      <w:footerReference w:type="default" r:id="rId9"/>
      <w:pgSz w:w="11906" w:h="16838"/>
      <w:pgMar w:top="1985" w:right="1133" w:bottom="1134" w:left="1134" w:header="567" w:footer="4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C1721" w14:textId="77777777" w:rsidR="009939D8" w:rsidRDefault="009939D8" w:rsidP="002157BC">
      <w:r>
        <w:separator/>
      </w:r>
    </w:p>
  </w:endnote>
  <w:endnote w:type="continuationSeparator" w:id="0">
    <w:p w14:paraId="6FA49040" w14:textId="77777777" w:rsidR="009939D8" w:rsidRDefault="009939D8" w:rsidP="00215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7A97F" w14:textId="77777777" w:rsidR="002157BC" w:rsidRPr="00DF7FC2" w:rsidRDefault="002157BC" w:rsidP="002157BC">
    <w:pPr>
      <w:pStyle w:val="Podnoje"/>
      <w:pBdr>
        <w:top w:val="single" w:sz="4" w:space="1" w:color="auto"/>
      </w:pBdr>
      <w:jc w:val="center"/>
      <w:rPr>
        <w:rFonts w:ascii="Times New Roman" w:hAnsi="Times New Roman"/>
        <w:sz w:val="18"/>
        <w:szCs w:val="18"/>
      </w:rPr>
    </w:pPr>
    <w:r w:rsidRPr="00DF7FC2">
      <w:rPr>
        <w:rFonts w:ascii="Times New Roman" w:hAnsi="Times New Roman"/>
        <w:sz w:val="18"/>
        <w:szCs w:val="18"/>
      </w:rPr>
      <w:fldChar w:fldCharType="begin"/>
    </w:r>
    <w:r w:rsidRPr="00DF7FC2">
      <w:rPr>
        <w:rFonts w:ascii="Times New Roman" w:hAnsi="Times New Roman"/>
        <w:sz w:val="18"/>
        <w:szCs w:val="18"/>
      </w:rPr>
      <w:instrText xml:space="preserve"> PAGE   \* MERGEFORMAT </w:instrText>
    </w:r>
    <w:r w:rsidRPr="00DF7FC2">
      <w:rPr>
        <w:rFonts w:ascii="Times New Roman" w:hAnsi="Times New Roman"/>
        <w:sz w:val="18"/>
        <w:szCs w:val="18"/>
      </w:rPr>
      <w:fldChar w:fldCharType="separate"/>
    </w:r>
    <w:r w:rsidR="00770E47">
      <w:rPr>
        <w:rFonts w:ascii="Times New Roman" w:hAnsi="Times New Roman"/>
        <w:noProof/>
        <w:sz w:val="18"/>
        <w:szCs w:val="18"/>
      </w:rPr>
      <w:t>1</w:t>
    </w:r>
    <w:r w:rsidRPr="00DF7FC2">
      <w:rPr>
        <w:rFonts w:ascii="Times New Roman" w:hAnsi="Times New Roman"/>
        <w:sz w:val="18"/>
        <w:szCs w:val="18"/>
      </w:rPr>
      <w:fldChar w:fldCharType="end"/>
    </w:r>
  </w:p>
  <w:p w14:paraId="38C31529" w14:textId="73228EE1" w:rsidR="00355905" w:rsidRDefault="006E62DA" w:rsidP="002157BC">
    <w:pPr>
      <w:pStyle w:val="Podnoje"/>
      <w:jc w:val="center"/>
      <w:rPr>
        <w:rFonts w:ascii="Times New Roman" w:hAnsi="Times New Roman"/>
        <w:sz w:val="18"/>
        <w:szCs w:val="18"/>
      </w:rPr>
    </w:pPr>
    <w:r w:rsidRPr="006E62DA">
      <w:rPr>
        <w:rFonts w:ascii="Times New Roman" w:hAnsi="Times New Roman"/>
        <w:sz w:val="18"/>
        <w:szCs w:val="18"/>
      </w:rPr>
      <w:t xml:space="preserve">Zakon o </w:t>
    </w:r>
    <w:r w:rsidR="007E17BF">
      <w:rPr>
        <w:rFonts w:ascii="Times New Roman" w:hAnsi="Times New Roman"/>
        <w:sz w:val="18"/>
        <w:szCs w:val="18"/>
      </w:rPr>
      <w:t>prostornom uređenju</w:t>
    </w:r>
  </w:p>
  <w:p w14:paraId="705BB24B" w14:textId="754E463F" w:rsidR="002157BC" w:rsidRPr="00DF7FC2" w:rsidRDefault="002157BC" w:rsidP="002157BC">
    <w:pPr>
      <w:pStyle w:val="Podnoje"/>
      <w:jc w:val="center"/>
      <w:rPr>
        <w:rFonts w:ascii="Times New Roman" w:hAnsi="Times New Roman"/>
        <w:sz w:val="18"/>
        <w:szCs w:val="18"/>
      </w:rPr>
    </w:pPr>
    <w:r w:rsidRPr="00DF7FC2">
      <w:rPr>
        <w:rFonts w:ascii="Times New Roman" w:hAnsi="Times New Roman"/>
        <w:sz w:val="18"/>
        <w:szCs w:val="18"/>
      </w:rPr>
      <w:t>NN</w:t>
    </w:r>
    <w:r w:rsidR="00A71198">
      <w:rPr>
        <w:rFonts w:ascii="Times New Roman" w:hAnsi="Times New Roman"/>
        <w:sz w:val="18"/>
        <w:szCs w:val="18"/>
      </w:rPr>
      <w:t xml:space="preserve"> </w:t>
    </w:r>
    <w:r w:rsidR="007E17BF">
      <w:rPr>
        <w:rFonts w:ascii="Times New Roman" w:hAnsi="Times New Roman"/>
        <w:sz w:val="18"/>
        <w:szCs w:val="18"/>
      </w:rPr>
      <w:t>155</w:t>
    </w:r>
    <w:r w:rsidR="006E62DA">
      <w:rPr>
        <w:rFonts w:ascii="Times New Roman" w:hAnsi="Times New Roman"/>
        <w:sz w:val="18"/>
        <w:szCs w:val="18"/>
      </w:rPr>
      <w:t>/25</w:t>
    </w:r>
    <w:r w:rsidR="001E5366">
      <w:rPr>
        <w:rFonts w:ascii="Times New Roman" w:hAnsi="Times New Roman"/>
        <w:sz w:val="18"/>
        <w:szCs w:val="18"/>
      </w:rPr>
      <w:t xml:space="preserve"> - </w:t>
    </w:r>
    <w:r w:rsidR="006E62DA">
      <w:rPr>
        <w:rFonts w:ascii="Times New Roman" w:hAnsi="Times New Roman"/>
        <w:sz w:val="18"/>
        <w:szCs w:val="18"/>
      </w:rPr>
      <w:t>na snazi od</w:t>
    </w:r>
    <w:r w:rsidR="007E17BF">
      <w:rPr>
        <w:rFonts w:ascii="Times New Roman" w:hAnsi="Times New Roman"/>
        <w:sz w:val="18"/>
        <w:szCs w:val="18"/>
      </w:rPr>
      <w:t xml:space="preserve"> 01.01.2026</w:t>
    </w:r>
    <w:r w:rsidR="00006148">
      <w:rPr>
        <w:rFonts w:ascii="Times New Roman" w:hAnsi="Times New Roman"/>
        <w:sz w:val="18"/>
        <w:szCs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FE3F2" w14:textId="77777777" w:rsidR="009939D8" w:rsidRDefault="009939D8" w:rsidP="002157BC">
      <w:r>
        <w:separator/>
      </w:r>
    </w:p>
  </w:footnote>
  <w:footnote w:type="continuationSeparator" w:id="0">
    <w:p w14:paraId="32A63A49" w14:textId="77777777" w:rsidR="009939D8" w:rsidRDefault="009939D8" w:rsidP="00215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3BB49" w14:textId="44FB89BA" w:rsidR="002157BC" w:rsidRDefault="002157BC" w:rsidP="002157BC">
    <w:pPr>
      <w:pStyle w:val="Zaglavlje"/>
      <w:pBdr>
        <w:bottom w:val="single" w:sz="4" w:space="1" w:color="auto"/>
      </w:pBdr>
      <w:tabs>
        <w:tab w:val="clear" w:pos="9072"/>
        <w:tab w:val="right" w:pos="10206"/>
      </w:tabs>
    </w:pPr>
    <w:r>
      <w:tab/>
      <w:t xml:space="preserve">           </w:t>
    </w:r>
    <w:r w:rsidR="001F527E" w:rsidRPr="00AE2BB9">
      <w:rPr>
        <w:noProof/>
        <w:lang w:eastAsia="hr-HR"/>
      </w:rPr>
      <w:drawing>
        <wp:inline distT="0" distB="0" distL="0" distR="0" wp14:anchorId="5499DEEE" wp14:editId="1434B474">
          <wp:extent cx="1799590" cy="767715"/>
          <wp:effectExtent l="0" t="0" r="0" b="0"/>
          <wp:docPr id="1" name="Picture 1" descr="logoTemp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emp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9590" cy="767715"/>
                  </a:xfrm>
                  <a:prstGeom prst="rect">
                    <a:avLst/>
                  </a:prstGeom>
                  <a:noFill/>
                  <a:ln>
                    <a:noFill/>
                  </a:ln>
                </pic:spPr>
              </pic:pic>
            </a:graphicData>
          </a:graphic>
        </wp:inline>
      </w:drawing>
    </w:r>
    <w:r>
      <w:t xml:space="preserve">   </w:t>
    </w:r>
    <w:r>
      <w:tab/>
    </w:r>
    <w:r w:rsidRPr="00DF7FC2">
      <w:rPr>
        <w:rFonts w:ascii="Times New Roman" w:hAnsi="Times New Roman"/>
      </w:rPr>
      <w:t xml:space="preserve">          </w:t>
    </w:r>
    <w:r w:rsidRPr="00DF7FC2">
      <w:rPr>
        <w:rFonts w:ascii="Times New Roman" w:hAnsi="Times New Roman"/>
        <w:sz w:val="18"/>
        <w:szCs w:val="18"/>
      </w:rPr>
      <w:t>Ispisano:</w:t>
    </w:r>
    <w:r w:rsidRPr="00DF7FC2">
      <w:rPr>
        <w:rFonts w:ascii="Times New Roman" w:hAnsi="Times New Roman"/>
      </w:rPr>
      <w:t xml:space="preserve"> </w:t>
    </w:r>
    <w:r w:rsidRPr="00DF7FC2">
      <w:rPr>
        <w:rFonts w:ascii="Times New Roman" w:hAnsi="Times New Roman"/>
        <w:sz w:val="18"/>
        <w:szCs w:val="18"/>
      </w:rPr>
      <w:fldChar w:fldCharType="begin"/>
    </w:r>
    <w:r w:rsidRPr="00DF7FC2">
      <w:rPr>
        <w:rFonts w:ascii="Times New Roman" w:hAnsi="Times New Roman"/>
        <w:sz w:val="18"/>
        <w:szCs w:val="18"/>
      </w:rPr>
      <w:instrText xml:space="preserve"> PRINTDATE  \@ "d. MMMM yyyy."  \* MERGEFORMAT </w:instrText>
    </w:r>
    <w:r w:rsidRPr="00DF7FC2">
      <w:rPr>
        <w:rFonts w:ascii="Times New Roman" w:hAnsi="Times New Roman"/>
        <w:sz w:val="18"/>
        <w:szCs w:val="18"/>
      </w:rPr>
      <w:fldChar w:fldCharType="separate"/>
    </w:r>
    <w:r w:rsidR="001F527E">
      <w:rPr>
        <w:rFonts w:ascii="Times New Roman" w:hAnsi="Times New Roman"/>
        <w:noProof/>
        <w:sz w:val="18"/>
        <w:szCs w:val="18"/>
      </w:rPr>
      <w:t>0. XXX 0000.</w:t>
    </w:r>
    <w:r w:rsidRPr="00DF7FC2">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7B58"/>
    <w:multiLevelType w:val="multilevel"/>
    <w:tmpl w:val="534C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F7178"/>
    <w:multiLevelType w:val="hybridMultilevel"/>
    <w:tmpl w:val="8416E070"/>
    <w:lvl w:ilvl="0" w:tplc="BAA00916">
      <w:start w:val="1"/>
      <w:numFmt w:val="decimal"/>
      <w:lvlText w:val="%1."/>
      <w:lvlJc w:val="left"/>
      <w:pPr>
        <w:tabs>
          <w:tab w:val="num" w:pos="900"/>
        </w:tabs>
        <w:ind w:left="90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8604DC"/>
    <w:multiLevelType w:val="hybridMultilevel"/>
    <w:tmpl w:val="9E8026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7837DE"/>
    <w:multiLevelType w:val="hybridMultilevel"/>
    <w:tmpl w:val="5C209B5E"/>
    <w:lvl w:ilvl="0" w:tplc="E53CF186">
      <w:start w:val="2"/>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0942FC"/>
    <w:multiLevelType w:val="multilevel"/>
    <w:tmpl w:val="DEC0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8A7877"/>
    <w:multiLevelType w:val="hybridMultilevel"/>
    <w:tmpl w:val="D3EA610C"/>
    <w:lvl w:ilvl="0" w:tplc="D7BCC77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613440150">
    <w:abstractNumId w:val="5"/>
  </w:num>
  <w:num w:numId="2" w16cid:durableId="197745270">
    <w:abstractNumId w:val="2"/>
  </w:num>
  <w:num w:numId="3" w16cid:durableId="716272677">
    <w:abstractNumId w:val="3"/>
  </w:num>
  <w:num w:numId="4" w16cid:durableId="532839710">
    <w:abstractNumId w:val="1"/>
  </w:num>
  <w:num w:numId="5" w16cid:durableId="163857846">
    <w:abstractNumId w:val="0"/>
  </w:num>
  <w:num w:numId="6" w16cid:durableId="19282286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27E"/>
    <w:rsid w:val="00006148"/>
    <w:rsid w:val="00011EB6"/>
    <w:rsid w:val="00013ED4"/>
    <w:rsid w:val="00024D54"/>
    <w:rsid w:val="00041745"/>
    <w:rsid w:val="000704F3"/>
    <w:rsid w:val="00074E29"/>
    <w:rsid w:val="000960B5"/>
    <w:rsid w:val="000A3CE4"/>
    <w:rsid w:val="000B3BB4"/>
    <w:rsid w:val="000B682E"/>
    <w:rsid w:val="000C2BBA"/>
    <w:rsid w:val="000E093E"/>
    <w:rsid w:val="000E1C61"/>
    <w:rsid w:val="000F410D"/>
    <w:rsid w:val="000F6150"/>
    <w:rsid w:val="0010378E"/>
    <w:rsid w:val="00115CA5"/>
    <w:rsid w:val="001250E2"/>
    <w:rsid w:val="00144727"/>
    <w:rsid w:val="00146C31"/>
    <w:rsid w:val="0015417A"/>
    <w:rsid w:val="00156239"/>
    <w:rsid w:val="001665FD"/>
    <w:rsid w:val="00170731"/>
    <w:rsid w:val="0018322D"/>
    <w:rsid w:val="001A1015"/>
    <w:rsid w:val="001A3FDB"/>
    <w:rsid w:val="001B05A0"/>
    <w:rsid w:val="001D3D84"/>
    <w:rsid w:val="001D67F6"/>
    <w:rsid w:val="001E5366"/>
    <w:rsid w:val="001E6C7A"/>
    <w:rsid w:val="001F0A98"/>
    <w:rsid w:val="001F0E80"/>
    <w:rsid w:val="001F527E"/>
    <w:rsid w:val="00201616"/>
    <w:rsid w:val="0021437A"/>
    <w:rsid w:val="002157BC"/>
    <w:rsid w:val="00221226"/>
    <w:rsid w:val="0022238E"/>
    <w:rsid w:val="0024008E"/>
    <w:rsid w:val="00252960"/>
    <w:rsid w:val="00252B0B"/>
    <w:rsid w:val="00252ECB"/>
    <w:rsid w:val="0025315C"/>
    <w:rsid w:val="00277373"/>
    <w:rsid w:val="00282C62"/>
    <w:rsid w:val="002A0912"/>
    <w:rsid w:val="002B4D39"/>
    <w:rsid w:val="002B7DF7"/>
    <w:rsid w:val="002C487C"/>
    <w:rsid w:val="002D20A6"/>
    <w:rsid w:val="00343373"/>
    <w:rsid w:val="00350008"/>
    <w:rsid w:val="00355905"/>
    <w:rsid w:val="003739A3"/>
    <w:rsid w:val="00373E3A"/>
    <w:rsid w:val="00374B2E"/>
    <w:rsid w:val="003956BD"/>
    <w:rsid w:val="003A5C68"/>
    <w:rsid w:val="003B05CD"/>
    <w:rsid w:val="003C6FB3"/>
    <w:rsid w:val="003D7EE4"/>
    <w:rsid w:val="004022A6"/>
    <w:rsid w:val="00415405"/>
    <w:rsid w:val="00415B54"/>
    <w:rsid w:val="00416076"/>
    <w:rsid w:val="004179E8"/>
    <w:rsid w:val="004205B2"/>
    <w:rsid w:val="00425E03"/>
    <w:rsid w:val="004465A0"/>
    <w:rsid w:val="00452A1C"/>
    <w:rsid w:val="00453D55"/>
    <w:rsid w:val="00484C57"/>
    <w:rsid w:val="004D1586"/>
    <w:rsid w:val="004E14F6"/>
    <w:rsid w:val="004E2975"/>
    <w:rsid w:val="00501A59"/>
    <w:rsid w:val="00506739"/>
    <w:rsid w:val="00512203"/>
    <w:rsid w:val="00540A90"/>
    <w:rsid w:val="00542028"/>
    <w:rsid w:val="00554F88"/>
    <w:rsid w:val="00566896"/>
    <w:rsid w:val="00573CA8"/>
    <w:rsid w:val="00573E4C"/>
    <w:rsid w:val="005925E8"/>
    <w:rsid w:val="005A0770"/>
    <w:rsid w:val="005B1DC5"/>
    <w:rsid w:val="005B1DDF"/>
    <w:rsid w:val="005B2E7C"/>
    <w:rsid w:val="005E3069"/>
    <w:rsid w:val="0060418C"/>
    <w:rsid w:val="00604330"/>
    <w:rsid w:val="00605BFF"/>
    <w:rsid w:val="00610120"/>
    <w:rsid w:val="00611B6D"/>
    <w:rsid w:val="006408E3"/>
    <w:rsid w:val="00641104"/>
    <w:rsid w:val="00651A67"/>
    <w:rsid w:val="00657D04"/>
    <w:rsid w:val="00664744"/>
    <w:rsid w:val="00665AC8"/>
    <w:rsid w:val="00667154"/>
    <w:rsid w:val="006672BA"/>
    <w:rsid w:val="006B7BE8"/>
    <w:rsid w:val="006D4B7B"/>
    <w:rsid w:val="006E22BA"/>
    <w:rsid w:val="006E62DA"/>
    <w:rsid w:val="006F7368"/>
    <w:rsid w:val="006F7C9F"/>
    <w:rsid w:val="00725EC4"/>
    <w:rsid w:val="00726EBB"/>
    <w:rsid w:val="00740174"/>
    <w:rsid w:val="007427B4"/>
    <w:rsid w:val="007429F2"/>
    <w:rsid w:val="00744D84"/>
    <w:rsid w:val="00766E86"/>
    <w:rsid w:val="00770E47"/>
    <w:rsid w:val="0077279B"/>
    <w:rsid w:val="007749B9"/>
    <w:rsid w:val="0078108A"/>
    <w:rsid w:val="007B3F62"/>
    <w:rsid w:val="007D45AF"/>
    <w:rsid w:val="007D6D8F"/>
    <w:rsid w:val="007E17BF"/>
    <w:rsid w:val="007E7274"/>
    <w:rsid w:val="007F0068"/>
    <w:rsid w:val="007F558A"/>
    <w:rsid w:val="00800679"/>
    <w:rsid w:val="00806163"/>
    <w:rsid w:val="00820A1B"/>
    <w:rsid w:val="008315E1"/>
    <w:rsid w:val="00834B2D"/>
    <w:rsid w:val="00843DA4"/>
    <w:rsid w:val="00847ED0"/>
    <w:rsid w:val="00851083"/>
    <w:rsid w:val="00856A9D"/>
    <w:rsid w:val="0087297C"/>
    <w:rsid w:val="00874D50"/>
    <w:rsid w:val="00893E9C"/>
    <w:rsid w:val="008A619F"/>
    <w:rsid w:val="008A68A9"/>
    <w:rsid w:val="008C3AEE"/>
    <w:rsid w:val="008C7C4A"/>
    <w:rsid w:val="008E09BA"/>
    <w:rsid w:val="008E2428"/>
    <w:rsid w:val="008E726B"/>
    <w:rsid w:val="008F2E00"/>
    <w:rsid w:val="00902379"/>
    <w:rsid w:val="00910BCE"/>
    <w:rsid w:val="00913261"/>
    <w:rsid w:val="00916FC7"/>
    <w:rsid w:val="009300F8"/>
    <w:rsid w:val="00932587"/>
    <w:rsid w:val="00950923"/>
    <w:rsid w:val="00951508"/>
    <w:rsid w:val="0095522C"/>
    <w:rsid w:val="009567F9"/>
    <w:rsid w:val="00972841"/>
    <w:rsid w:val="009939D8"/>
    <w:rsid w:val="009C1BC0"/>
    <w:rsid w:val="009F6C50"/>
    <w:rsid w:val="00A0018D"/>
    <w:rsid w:val="00A01201"/>
    <w:rsid w:val="00A01A53"/>
    <w:rsid w:val="00A05ACC"/>
    <w:rsid w:val="00A1704F"/>
    <w:rsid w:val="00A21FD2"/>
    <w:rsid w:val="00A2265B"/>
    <w:rsid w:val="00A35430"/>
    <w:rsid w:val="00A421EC"/>
    <w:rsid w:val="00A55D6A"/>
    <w:rsid w:val="00A71198"/>
    <w:rsid w:val="00A7654F"/>
    <w:rsid w:val="00A7693A"/>
    <w:rsid w:val="00A76D2E"/>
    <w:rsid w:val="00A8647B"/>
    <w:rsid w:val="00A9137E"/>
    <w:rsid w:val="00AA2600"/>
    <w:rsid w:val="00AB0923"/>
    <w:rsid w:val="00AB4C75"/>
    <w:rsid w:val="00AB6C89"/>
    <w:rsid w:val="00AE7E8E"/>
    <w:rsid w:val="00AF1012"/>
    <w:rsid w:val="00B169D8"/>
    <w:rsid w:val="00B1731E"/>
    <w:rsid w:val="00B21895"/>
    <w:rsid w:val="00B2246E"/>
    <w:rsid w:val="00B264F5"/>
    <w:rsid w:val="00B31E42"/>
    <w:rsid w:val="00B5085C"/>
    <w:rsid w:val="00B668AA"/>
    <w:rsid w:val="00B71232"/>
    <w:rsid w:val="00B72055"/>
    <w:rsid w:val="00B7444F"/>
    <w:rsid w:val="00BA7AA6"/>
    <w:rsid w:val="00BB24FD"/>
    <w:rsid w:val="00BB2622"/>
    <w:rsid w:val="00BB2F95"/>
    <w:rsid w:val="00BC1F9B"/>
    <w:rsid w:val="00BD5775"/>
    <w:rsid w:val="00BF1210"/>
    <w:rsid w:val="00BF141E"/>
    <w:rsid w:val="00BF1986"/>
    <w:rsid w:val="00BF547D"/>
    <w:rsid w:val="00C307C8"/>
    <w:rsid w:val="00C37443"/>
    <w:rsid w:val="00C47818"/>
    <w:rsid w:val="00C53A95"/>
    <w:rsid w:val="00C9558F"/>
    <w:rsid w:val="00CA2BEC"/>
    <w:rsid w:val="00CB0355"/>
    <w:rsid w:val="00CC03E0"/>
    <w:rsid w:val="00CE546A"/>
    <w:rsid w:val="00CF10D1"/>
    <w:rsid w:val="00CF57AB"/>
    <w:rsid w:val="00D00A78"/>
    <w:rsid w:val="00D00FB3"/>
    <w:rsid w:val="00D2578D"/>
    <w:rsid w:val="00D377F8"/>
    <w:rsid w:val="00D40F6A"/>
    <w:rsid w:val="00D41646"/>
    <w:rsid w:val="00D42D8F"/>
    <w:rsid w:val="00D60CCE"/>
    <w:rsid w:val="00D63D0B"/>
    <w:rsid w:val="00D75FB3"/>
    <w:rsid w:val="00D83C4D"/>
    <w:rsid w:val="00DA026B"/>
    <w:rsid w:val="00DA2557"/>
    <w:rsid w:val="00DF70F5"/>
    <w:rsid w:val="00DF7FC2"/>
    <w:rsid w:val="00E2030C"/>
    <w:rsid w:val="00E35654"/>
    <w:rsid w:val="00E3777C"/>
    <w:rsid w:val="00E44099"/>
    <w:rsid w:val="00E56EB2"/>
    <w:rsid w:val="00E76036"/>
    <w:rsid w:val="00EA5523"/>
    <w:rsid w:val="00EC4BAB"/>
    <w:rsid w:val="00ED3991"/>
    <w:rsid w:val="00EE7918"/>
    <w:rsid w:val="00EE7CE8"/>
    <w:rsid w:val="00F10CED"/>
    <w:rsid w:val="00F13030"/>
    <w:rsid w:val="00F22552"/>
    <w:rsid w:val="00F2381E"/>
    <w:rsid w:val="00F3212D"/>
    <w:rsid w:val="00F3381C"/>
    <w:rsid w:val="00F52B1D"/>
    <w:rsid w:val="00F57821"/>
    <w:rsid w:val="00F66712"/>
    <w:rsid w:val="00F70618"/>
    <w:rsid w:val="00F90FC1"/>
    <w:rsid w:val="00F94709"/>
    <w:rsid w:val="00FB7698"/>
    <w:rsid w:val="00FE1A1C"/>
    <w:rsid w:val="00FE25F0"/>
    <w:rsid w:val="00FE4781"/>
    <w:rsid w:val="00FF63A3"/>
    <w:rsid w:val="00FF673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D4EE6"/>
  <w15:chartTrackingRefBased/>
  <w15:docId w15:val="{79718108-7320-4D81-859B-C19F36715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7BF"/>
    <w:pPr>
      <w:spacing w:after="200" w:line="276" w:lineRule="auto"/>
    </w:pPr>
    <w:rPr>
      <w:sz w:val="22"/>
      <w:szCs w:val="22"/>
      <w:lang w:eastAsia="en-US"/>
    </w:rPr>
  </w:style>
  <w:style w:type="paragraph" w:styleId="Naslov1">
    <w:name w:val="heading 1"/>
    <w:basedOn w:val="Normal"/>
    <w:next w:val="Normal"/>
    <w:link w:val="Naslov1Char"/>
    <w:qFormat/>
    <w:rsid w:val="00726EBB"/>
    <w:pPr>
      <w:keepNext/>
      <w:spacing w:before="240" w:after="60" w:line="240" w:lineRule="auto"/>
      <w:outlineLvl w:val="0"/>
    </w:pPr>
    <w:rPr>
      <w:rFonts w:ascii="Arial" w:eastAsia="Times New Roman" w:hAnsi="Arial" w:cs="Arial"/>
      <w:b/>
      <w:bCs/>
      <w:kern w:val="32"/>
      <w:sz w:val="32"/>
      <w:szCs w:val="32"/>
      <w:lang w:val="en-US"/>
    </w:rPr>
  </w:style>
  <w:style w:type="paragraph" w:styleId="Naslov2">
    <w:name w:val="heading 2"/>
    <w:basedOn w:val="Normal"/>
    <w:next w:val="Normal"/>
    <w:link w:val="Naslov2Char"/>
    <w:unhideWhenUsed/>
    <w:qFormat/>
    <w:rsid w:val="001A3FDB"/>
    <w:pPr>
      <w:keepNext/>
      <w:spacing w:before="240" w:after="60"/>
      <w:outlineLvl w:val="1"/>
    </w:pPr>
    <w:rPr>
      <w:rFonts w:ascii="Cambria" w:eastAsia="Times New Roman" w:hAnsi="Cambria"/>
      <w:b/>
      <w:bCs/>
      <w:i/>
      <w:iCs/>
      <w:sz w:val="28"/>
      <w:szCs w:val="28"/>
    </w:rPr>
  </w:style>
  <w:style w:type="paragraph" w:styleId="Naslov3">
    <w:name w:val="heading 3"/>
    <w:basedOn w:val="Normal"/>
    <w:next w:val="Normal"/>
    <w:link w:val="Naslov3Char"/>
    <w:unhideWhenUsed/>
    <w:qFormat/>
    <w:rsid w:val="001A3FDB"/>
    <w:pPr>
      <w:keepNext/>
      <w:spacing w:before="240" w:after="60" w:line="360" w:lineRule="auto"/>
      <w:jc w:val="center"/>
      <w:outlineLvl w:val="2"/>
    </w:pPr>
    <w:rPr>
      <w:rFonts w:ascii="Times New Roman" w:eastAsia="Times New Roman" w:hAnsi="Times New Roman"/>
      <w:b/>
      <w:bCs/>
      <w:sz w:val="26"/>
      <w:szCs w:val="26"/>
    </w:rPr>
  </w:style>
  <w:style w:type="paragraph" w:styleId="Naslov4">
    <w:name w:val="heading 4"/>
    <w:basedOn w:val="Normal"/>
    <w:next w:val="Normal"/>
    <w:link w:val="Naslov4Char"/>
    <w:uiPriority w:val="9"/>
    <w:unhideWhenUsed/>
    <w:qFormat/>
    <w:rsid w:val="001A3FDB"/>
    <w:pPr>
      <w:keepNext/>
      <w:spacing w:before="240" w:after="60" w:line="360" w:lineRule="auto"/>
      <w:jc w:val="center"/>
      <w:outlineLvl w:val="3"/>
    </w:pPr>
    <w:rPr>
      <w:rFonts w:ascii="Times New Roman" w:eastAsia="Times New Roman" w:hAnsi="Times New Roman"/>
      <w:b/>
      <w:bCs/>
      <w:sz w:val="24"/>
      <w:szCs w:val="28"/>
    </w:rPr>
  </w:style>
  <w:style w:type="paragraph" w:styleId="Naslov5">
    <w:name w:val="heading 5"/>
    <w:basedOn w:val="1"/>
    <w:next w:val="Normal"/>
    <w:link w:val="Naslov5Char"/>
    <w:uiPriority w:val="9"/>
    <w:unhideWhenUsed/>
    <w:qFormat/>
    <w:rsid w:val="00425E03"/>
    <w:pPr>
      <w:spacing w:before="240" w:after="60" w:line="360" w:lineRule="auto"/>
      <w:outlineLvl w:val="4"/>
    </w:pPr>
    <w:rPr>
      <w:rFonts w:ascii="Times New Roman" w:hAnsi="Times New Roman"/>
      <w:bCs/>
      <w:iCs/>
      <w:szCs w:val="26"/>
    </w:rPr>
  </w:style>
  <w:style w:type="paragraph" w:styleId="Naslov6">
    <w:name w:val="heading 6"/>
    <w:basedOn w:val="Normal"/>
    <w:next w:val="Normal"/>
    <w:link w:val="Naslov6Char"/>
    <w:uiPriority w:val="9"/>
    <w:unhideWhenUsed/>
    <w:qFormat/>
    <w:rsid w:val="00C53A95"/>
    <w:pPr>
      <w:spacing w:before="240" w:after="60"/>
      <w:jc w:val="center"/>
      <w:outlineLvl w:val="5"/>
    </w:pPr>
    <w:rPr>
      <w:rFonts w:eastAsia="Times New Roman"/>
      <w:b/>
      <w:bCs/>
    </w:rPr>
  </w:style>
  <w:style w:type="paragraph" w:styleId="Naslov7">
    <w:name w:val="heading 7"/>
    <w:basedOn w:val="Normal"/>
    <w:next w:val="Normal"/>
    <w:link w:val="Naslov7Char"/>
    <w:uiPriority w:val="9"/>
    <w:unhideWhenUsed/>
    <w:qFormat/>
    <w:rsid w:val="00C53A95"/>
    <w:pPr>
      <w:spacing w:before="240" w:after="60"/>
      <w:jc w:val="center"/>
      <w:outlineLvl w:val="6"/>
    </w:pPr>
    <w:rPr>
      <w:rFonts w:eastAsia="Times New Roman"/>
      <w:b/>
      <w:sz w:val="20"/>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nhideWhenUsed/>
    <w:rsid w:val="002157BC"/>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2157BC"/>
  </w:style>
  <w:style w:type="paragraph" w:styleId="Podnoje">
    <w:name w:val="footer"/>
    <w:basedOn w:val="Normal"/>
    <w:link w:val="PodnojeChar"/>
    <w:unhideWhenUsed/>
    <w:rsid w:val="002157B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157BC"/>
  </w:style>
  <w:style w:type="paragraph" w:styleId="Tekstbalonia">
    <w:name w:val="Balloon Text"/>
    <w:basedOn w:val="Normal"/>
    <w:link w:val="TekstbaloniaChar"/>
    <w:uiPriority w:val="99"/>
    <w:semiHidden/>
    <w:unhideWhenUsed/>
    <w:rsid w:val="002157BC"/>
    <w:pPr>
      <w:spacing w:after="0" w:line="240" w:lineRule="auto"/>
    </w:pPr>
    <w:rPr>
      <w:rFonts w:ascii="Tahoma" w:hAnsi="Tahoma" w:cs="Tahoma"/>
      <w:sz w:val="16"/>
      <w:szCs w:val="16"/>
    </w:rPr>
  </w:style>
  <w:style w:type="character" w:customStyle="1" w:styleId="TekstbaloniaChar">
    <w:name w:val="Tekst balončića Char"/>
    <w:link w:val="Tekstbalonia"/>
    <w:uiPriority w:val="99"/>
    <w:semiHidden/>
    <w:rsid w:val="002157BC"/>
    <w:rPr>
      <w:rFonts w:ascii="Tahoma" w:hAnsi="Tahoma" w:cs="Tahoma"/>
      <w:sz w:val="16"/>
      <w:szCs w:val="16"/>
    </w:rPr>
  </w:style>
  <w:style w:type="paragraph" w:customStyle="1" w:styleId="1">
    <w:name w:val="1"/>
    <w:basedOn w:val="Normal"/>
    <w:rsid w:val="00E2030C"/>
    <w:pPr>
      <w:jc w:val="center"/>
    </w:pPr>
    <w:rPr>
      <w:b/>
    </w:rPr>
  </w:style>
  <w:style w:type="paragraph" w:customStyle="1" w:styleId="11">
    <w:name w:val="1.1."/>
    <w:basedOn w:val="Normal"/>
    <w:rsid w:val="00E2030C"/>
    <w:pPr>
      <w:jc w:val="center"/>
    </w:pPr>
    <w:rPr>
      <w:b/>
    </w:rPr>
  </w:style>
  <w:style w:type="character" w:customStyle="1" w:styleId="Naslov5Char">
    <w:name w:val="Naslov 5 Char"/>
    <w:link w:val="Naslov5"/>
    <w:uiPriority w:val="9"/>
    <w:rsid w:val="00425E03"/>
    <w:rPr>
      <w:rFonts w:ascii="Times New Roman" w:hAnsi="Times New Roman"/>
      <w:b/>
      <w:bCs/>
      <w:iCs/>
      <w:sz w:val="22"/>
      <w:szCs w:val="26"/>
      <w:lang w:eastAsia="en-US"/>
    </w:rPr>
  </w:style>
  <w:style w:type="character" w:customStyle="1" w:styleId="Naslov6Char">
    <w:name w:val="Naslov 6 Char"/>
    <w:link w:val="Naslov6"/>
    <w:uiPriority w:val="9"/>
    <w:rsid w:val="00C53A95"/>
    <w:rPr>
      <w:rFonts w:ascii="Times New Roman" w:eastAsia="Times New Roman" w:hAnsi="Times New Roman" w:cs="Times New Roman"/>
      <w:b/>
      <w:bCs/>
      <w:sz w:val="22"/>
      <w:szCs w:val="22"/>
      <w:lang w:eastAsia="en-US"/>
    </w:rPr>
  </w:style>
  <w:style w:type="character" w:customStyle="1" w:styleId="Naslov7Char">
    <w:name w:val="Naslov 7 Char"/>
    <w:link w:val="Naslov7"/>
    <w:uiPriority w:val="9"/>
    <w:rsid w:val="00C53A95"/>
    <w:rPr>
      <w:rFonts w:ascii="Times New Roman" w:eastAsia="Times New Roman" w:hAnsi="Times New Roman" w:cs="Times New Roman"/>
      <w:b/>
      <w:szCs w:val="24"/>
      <w:lang w:eastAsia="en-US"/>
    </w:rPr>
  </w:style>
  <w:style w:type="paragraph" w:customStyle="1" w:styleId="111">
    <w:name w:val="1.1.1"/>
    <w:basedOn w:val="Normal"/>
    <w:rsid w:val="001A3FDB"/>
    <w:pPr>
      <w:spacing w:after="0" w:line="240" w:lineRule="auto"/>
      <w:jc w:val="center"/>
    </w:pPr>
    <w:rPr>
      <w:rFonts w:ascii="Times New Roman" w:eastAsia="Times New Roman" w:hAnsi="Times New Roman"/>
      <w:b/>
      <w:sz w:val="20"/>
      <w:szCs w:val="20"/>
    </w:rPr>
  </w:style>
  <w:style w:type="character" w:customStyle="1" w:styleId="Naslov2Char">
    <w:name w:val="Naslov 2 Char"/>
    <w:link w:val="Naslov2"/>
    <w:rsid w:val="001A3FDB"/>
    <w:rPr>
      <w:rFonts w:ascii="Cambria" w:eastAsia="Times New Roman" w:hAnsi="Cambria" w:cs="Times New Roman"/>
      <w:b/>
      <w:bCs/>
      <w:i/>
      <w:iCs/>
      <w:sz w:val="28"/>
      <w:szCs w:val="28"/>
      <w:lang w:eastAsia="en-US"/>
    </w:rPr>
  </w:style>
  <w:style w:type="character" w:customStyle="1" w:styleId="Naslov3Char">
    <w:name w:val="Naslov 3 Char"/>
    <w:link w:val="Naslov3"/>
    <w:rsid w:val="001A3FDB"/>
    <w:rPr>
      <w:rFonts w:ascii="Times New Roman" w:eastAsia="Times New Roman" w:hAnsi="Times New Roman" w:cs="Times New Roman"/>
      <w:b/>
      <w:bCs/>
      <w:sz w:val="26"/>
      <w:szCs w:val="26"/>
      <w:lang w:eastAsia="en-US"/>
    </w:rPr>
  </w:style>
  <w:style w:type="character" w:customStyle="1" w:styleId="Naslov4Char">
    <w:name w:val="Naslov 4 Char"/>
    <w:link w:val="Naslov4"/>
    <w:uiPriority w:val="9"/>
    <w:rsid w:val="001A3FDB"/>
    <w:rPr>
      <w:rFonts w:ascii="Times New Roman" w:eastAsia="Times New Roman" w:hAnsi="Times New Roman" w:cs="Times New Roman"/>
      <w:b/>
      <w:bCs/>
      <w:sz w:val="24"/>
      <w:szCs w:val="28"/>
      <w:lang w:eastAsia="en-US"/>
    </w:rPr>
  </w:style>
  <w:style w:type="character" w:customStyle="1" w:styleId="Naslov1Char">
    <w:name w:val="Naslov 1 Char"/>
    <w:link w:val="Naslov1"/>
    <w:rsid w:val="00726EBB"/>
    <w:rPr>
      <w:rFonts w:ascii="Arial" w:eastAsia="Times New Roman" w:hAnsi="Arial" w:cs="Arial"/>
      <w:b/>
      <w:bCs/>
      <w:kern w:val="32"/>
      <w:sz w:val="32"/>
      <w:szCs w:val="32"/>
      <w:lang w:val="en-US" w:eastAsia="en-US"/>
    </w:rPr>
  </w:style>
  <w:style w:type="character" w:styleId="Brojstranice">
    <w:name w:val="page number"/>
    <w:basedOn w:val="Zadanifontodlomka"/>
    <w:rsid w:val="00726EBB"/>
  </w:style>
  <w:style w:type="character" w:customStyle="1" w:styleId="TekstfusnoteChar">
    <w:name w:val="Tekst fusnote Char"/>
    <w:link w:val="Tekstfusnote"/>
    <w:semiHidden/>
    <w:rsid w:val="00726EBB"/>
    <w:rPr>
      <w:rFonts w:ascii="Times New Roman" w:eastAsia="Times New Roman" w:hAnsi="Times New Roman"/>
      <w:lang w:val="en-US" w:eastAsia="en-US"/>
    </w:rPr>
  </w:style>
  <w:style w:type="paragraph" w:styleId="Tekstfusnote">
    <w:name w:val="footnote text"/>
    <w:basedOn w:val="Normal"/>
    <w:link w:val="TekstfusnoteChar"/>
    <w:semiHidden/>
    <w:rsid w:val="00726EBB"/>
    <w:pPr>
      <w:spacing w:after="0" w:line="240" w:lineRule="auto"/>
    </w:pPr>
    <w:rPr>
      <w:rFonts w:ascii="Times New Roman" w:eastAsia="Times New Roman" w:hAnsi="Times New Roman"/>
      <w:sz w:val="20"/>
      <w:szCs w:val="20"/>
      <w:lang w:val="en-US"/>
    </w:rPr>
  </w:style>
  <w:style w:type="character" w:customStyle="1" w:styleId="FootnoteTextChar1">
    <w:name w:val="Footnote Text Char1"/>
    <w:uiPriority w:val="99"/>
    <w:semiHidden/>
    <w:rsid w:val="00726EBB"/>
    <w:rPr>
      <w:lang w:eastAsia="en-US"/>
    </w:rPr>
  </w:style>
  <w:style w:type="paragraph" w:customStyle="1" w:styleId="brojdesno2">
    <w:name w:val="brojdesno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
    <w:name w:val="t-98-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klasa2">
    <w:name w:val="klasa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potpisnik">
    <w:name w:val="potpisni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apple-converted-space">
    <w:name w:val="apple-converted-space"/>
    <w:basedOn w:val="Zadanifontodlomka"/>
    <w:rsid w:val="00726EBB"/>
  </w:style>
  <w:style w:type="paragraph" w:customStyle="1" w:styleId="t-119sred">
    <w:name w:val="t-119sred"/>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109curz">
    <w:name w:val="t-109curz"/>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clanak">
    <w:name w:val="clana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
    <w:name w:val="n1"/>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
    <w:name w:val="n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a">
    <w:name w:val="n1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a">
    <w:name w:val="n2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styleId="StandardWeb">
    <w:name w:val="Normal (Web)"/>
    <w:basedOn w:val="Normal"/>
    <w:unhideWhenUsed/>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0">
    <w:name w:val="T-9/8-2"/>
    <w:basedOn w:val="Normal"/>
    <w:rsid w:val="00726EBB"/>
    <w:pPr>
      <w:widowControl w:val="0"/>
      <w:tabs>
        <w:tab w:val="left" w:pos="2153"/>
      </w:tabs>
      <w:autoSpaceDE w:val="0"/>
      <w:autoSpaceDN w:val="0"/>
      <w:adjustRightInd w:val="0"/>
      <w:spacing w:after="43" w:line="240" w:lineRule="auto"/>
      <w:ind w:firstLine="342"/>
      <w:jc w:val="both"/>
    </w:pPr>
    <w:rPr>
      <w:rFonts w:ascii="Times-NewRoman" w:eastAsia="Times New Roman" w:hAnsi="Times-NewRoman"/>
      <w:sz w:val="19"/>
      <w:szCs w:val="19"/>
      <w:lang w:val="en-GB"/>
    </w:rPr>
  </w:style>
  <w:style w:type="paragraph" w:customStyle="1" w:styleId="Clanak0">
    <w:name w:val="Clanak"/>
    <w:next w:val="T-98-20"/>
    <w:rsid w:val="00726EBB"/>
    <w:pPr>
      <w:widowControl w:val="0"/>
      <w:autoSpaceDE w:val="0"/>
      <w:autoSpaceDN w:val="0"/>
      <w:adjustRightInd w:val="0"/>
      <w:spacing w:before="86" w:after="43"/>
      <w:jc w:val="center"/>
    </w:pPr>
    <w:rPr>
      <w:rFonts w:ascii="Times-NewRoman" w:eastAsia="Times New Roman" w:hAnsi="Times-NewRoman"/>
      <w:sz w:val="19"/>
      <w:szCs w:val="19"/>
      <w:lang w:val="en-GB" w:eastAsia="en-US"/>
    </w:rPr>
  </w:style>
  <w:style w:type="paragraph" w:customStyle="1" w:styleId="T-109curz0">
    <w:name w:val="T-10/9 curz"/>
    <w:rsid w:val="00726EBB"/>
    <w:pPr>
      <w:widowControl w:val="0"/>
      <w:autoSpaceDE w:val="0"/>
      <w:autoSpaceDN w:val="0"/>
      <w:adjustRightInd w:val="0"/>
      <w:spacing w:before="85" w:after="43"/>
      <w:jc w:val="center"/>
    </w:pPr>
    <w:rPr>
      <w:rFonts w:ascii="Times-NewRoman" w:eastAsia="Times New Roman" w:hAnsi="Times-NewRoman"/>
      <w:i/>
      <w:iCs/>
      <w:sz w:val="21"/>
      <w:szCs w:val="21"/>
      <w:lang w:val="en-GB" w:eastAsia="en-US"/>
    </w:rPr>
  </w:style>
  <w:style w:type="paragraph" w:styleId="Tijeloteksta">
    <w:name w:val="Body Text"/>
    <w:basedOn w:val="Normal"/>
    <w:link w:val="TijelotekstaChar"/>
    <w:rsid w:val="00726EBB"/>
    <w:pPr>
      <w:spacing w:after="0" w:line="240" w:lineRule="auto"/>
      <w:jc w:val="both"/>
    </w:pPr>
    <w:rPr>
      <w:rFonts w:ascii="Arial" w:eastAsia="Times New Roman" w:hAnsi="Arial" w:cs="Arial"/>
      <w:sz w:val="28"/>
      <w:szCs w:val="24"/>
    </w:rPr>
  </w:style>
  <w:style w:type="character" w:customStyle="1" w:styleId="TijelotekstaChar">
    <w:name w:val="Tijelo teksta Char"/>
    <w:link w:val="Tijeloteksta"/>
    <w:rsid w:val="00726EBB"/>
    <w:rPr>
      <w:rFonts w:ascii="Arial" w:eastAsia="Times New Roman" w:hAnsi="Arial" w:cs="Arial"/>
      <w:sz w:val="28"/>
      <w:szCs w:val="24"/>
      <w:lang w:eastAsia="en-US"/>
    </w:rPr>
  </w:style>
  <w:style w:type="paragraph" w:customStyle="1" w:styleId="T-109fett">
    <w:name w:val="T-10/9 fett"/>
    <w:rsid w:val="00726EBB"/>
    <w:pPr>
      <w:widowControl w:val="0"/>
      <w:autoSpaceDE w:val="0"/>
      <w:autoSpaceDN w:val="0"/>
      <w:adjustRightInd w:val="0"/>
      <w:spacing w:before="128" w:after="43"/>
      <w:jc w:val="center"/>
    </w:pPr>
    <w:rPr>
      <w:rFonts w:ascii="Times-NewRoman" w:eastAsia="Times New Roman" w:hAnsi="Times-NewRoman"/>
      <w:b/>
      <w:bCs/>
      <w:sz w:val="21"/>
      <w:szCs w:val="21"/>
      <w:lang w:val="en-US" w:eastAsia="en-US"/>
    </w:rPr>
  </w:style>
  <w:style w:type="paragraph" w:customStyle="1" w:styleId="T-109sred">
    <w:name w:val="T-10/9 sred"/>
    <w:rsid w:val="00726EBB"/>
    <w:pPr>
      <w:widowControl w:val="0"/>
      <w:autoSpaceDE w:val="0"/>
      <w:autoSpaceDN w:val="0"/>
      <w:adjustRightInd w:val="0"/>
      <w:spacing w:before="85" w:after="43"/>
      <w:jc w:val="center"/>
    </w:pPr>
    <w:rPr>
      <w:rFonts w:ascii="Times-NewRoman" w:eastAsia="Times New Roman" w:hAnsi="Times-NewRoman"/>
      <w:sz w:val="21"/>
      <w:szCs w:val="21"/>
      <w:lang w:val="en-US" w:eastAsia="en-US"/>
    </w:rPr>
  </w:style>
  <w:style w:type="paragraph" w:customStyle="1" w:styleId="T-119fett">
    <w:name w:val="T-11/9 fett"/>
    <w:rsid w:val="00726EBB"/>
    <w:pPr>
      <w:widowControl w:val="0"/>
      <w:autoSpaceDE w:val="0"/>
      <w:autoSpaceDN w:val="0"/>
      <w:adjustRightInd w:val="0"/>
      <w:spacing w:before="128" w:after="43"/>
      <w:jc w:val="center"/>
    </w:pPr>
    <w:rPr>
      <w:rFonts w:ascii="Times-NewRoman" w:eastAsia="Times New Roman" w:hAnsi="Times-NewRoman"/>
      <w:b/>
      <w:bCs/>
      <w:sz w:val="23"/>
      <w:szCs w:val="23"/>
      <w:lang w:val="en-US" w:eastAsia="en-US"/>
    </w:rPr>
  </w:style>
  <w:style w:type="paragraph" w:customStyle="1" w:styleId="T-119sred0">
    <w:name w:val="T-11/9 sred"/>
    <w:next w:val="T-98-20"/>
    <w:rsid w:val="00726EBB"/>
    <w:pPr>
      <w:widowControl w:val="0"/>
      <w:autoSpaceDE w:val="0"/>
      <w:autoSpaceDN w:val="0"/>
      <w:adjustRightInd w:val="0"/>
      <w:spacing w:before="128" w:after="43"/>
      <w:jc w:val="center"/>
    </w:pPr>
    <w:rPr>
      <w:rFonts w:ascii="Times-NewRoman" w:eastAsia="Times New Roman" w:hAnsi="Times-NewRoman"/>
      <w:sz w:val="23"/>
      <w:szCs w:val="23"/>
      <w:lang w:val="en-US" w:eastAsia="en-US"/>
    </w:rPr>
  </w:style>
  <w:style w:type="character" w:styleId="HTMLpisaistroj">
    <w:name w:val="HTML Typewriter"/>
    <w:rsid w:val="00726EBB"/>
    <w:rPr>
      <w:rFonts w:ascii="Courier New" w:eastAsia="Times New Roman" w:hAnsi="Courier New" w:cs="Courier New"/>
      <w:sz w:val="20"/>
      <w:szCs w:val="20"/>
    </w:rPr>
  </w:style>
  <w:style w:type="paragraph" w:styleId="Tijeloteksta2">
    <w:name w:val="Body Text 2"/>
    <w:basedOn w:val="Normal"/>
    <w:link w:val="Tijeloteksta2Char"/>
    <w:rsid w:val="00726EBB"/>
    <w:pPr>
      <w:spacing w:after="120" w:line="480" w:lineRule="auto"/>
    </w:pPr>
    <w:rPr>
      <w:rFonts w:ascii="Times New Roman" w:eastAsia="Times New Roman" w:hAnsi="Times New Roman"/>
      <w:sz w:val="24"/>
      <w:szCs w:val="24"/>
    </w:rPr>
  </w:style>
  <w:style w:type="character" w:customStyle="1" w:styleId="Tijeloteksta2Char">
    <w:name w:val="Tijelo teksta 2 Char"/>
    <w:link w:val="Tijeloteksta2"/>
    <w:rsid w:val="00726EBB"/>
    <w:rPr>
      <w:rFonts w:ascii="Times New Roman" w:eastAsia="Times New Roman" w:hAnsi="Times New Roman"/>
      <w:sz w:val="24"/>
      <w:szCs w:val="24"/>
      <w:lang w:eastAsia="en-US"/>
    </w:rPr>
  </w:style>
  <w:style w:type="paragraph" w:styleId="Obinitekst">
    <w:name w:val="Plain Text"/>
    <w:basedOn w:val="Normal"/>
    <w:link w:val="ObinitekstChar"/>
    <w:rsid w:val="00726EBB"/>
    <w:pPr>
      <w:spacing w:after="0" w:line="240" w:lineRule="auto"/>
    </w:pPr>
    <w:rPr>
      <w:rFonts w:ascii="Courier New" w:eastAsia="Times New Roman" w:hAnsi="Courier New" w:cs="Courier New"/>
      <w:sz w:val="20"/>
      <w:szCs w:val="20"/>
      <w:lang w:val="en-US"/>
    </w:rPr>
  </w:style>
  <w:style w:type="character" w:customStyle="1" w:styleId="ObinitekstChar">
    <w:name w:val="Obični tekst Char"/>
    <w:link w:val="Obinitekst"/>
    <w:rsid w:val="00726EBB"/>
    <w:rPr>
      <w:rFonts w:ascii="Courier New" w:eastAsia="Times New Roman" w:hAnsi="Courier New" w:cs="Courier New"/>
      <w:lang w:val="en-US" w:eastAsia="en-US"/>
    </w:rPr>
  </w:style>
  <w:style w:type="paragraph" w:styleId="Sadraj1">
    <w:name w:val="toc 1"/>
    <w:basedOn w:val="Normal"/>
    <w:next w:val="Normal"/>
    <w:autoRedefine/>
    <w:uiPriority w:val="39"/>
    <w:rsid w:val="00726EBB"/>
    <w:pPr>
      <w:spacing w:after="0" w:line="240" w:lineRule="auto"/>
    </w:pPr>
    <w:rPr>
      <w:rFonts w:ascii="Times New Roman" w:eastAsia="Times New Roman" w:hAnsi="Times New Roman"/>
      <w:sz w:val="24"/>
      <w:szCs w:val="24"/>
      <w:lang w:val="en-US"/>
    </w:rPr>
  </w:style>
  <w:style w:type="paragraph" w:styleId="Sadraj2">
    <w:name w:val="toc 2"/>
    <w:basedOn w:val="Normal"/>
    <w:next w:val="Normal"/>
    <w:autoRedefine/>
    <w:uiPriority w:val="39"/>
    <w:rsid w:val="00726EBB"/>
    <w:pPr>
      <w:spacing w:after="0" w:line="240" w:lineRule="auto"/>
      <w:ind w:left="240"/>
    </w:pPr>
    <w:rPr>
      <w:rFonts w:ascii="Times New Roman" w:eastAsia="Times New Roman" w:hAnsi="Times New Roman"/>
      <w:sz w:val="24"/>
      <w:szCs w:val="24"/>
      <w:lang w:val="en-US"/>
    </w:rPr>
  </w:style>
  <w:style w:type="paragraph" w:styleId="Sadraj3">
    <w:name w:val="toc 3"/>
    <w:basedOn w:val="Normal"/>
    <w:next w:val="Normal"/>
    <w:autoRedefine/>
    <w:uiPriority w:val="39"/>
    <w:rsid w:val="00726EBB"/>
    <w:pPr>
      <w:spacing w:after="0" w:line="240" w:lineRule="auto"/>
      <w:ind w:left="480"/>
    </w:pPr>
    <w:rPr>
      <w:rFonts w:ascii="Times New Roman" w:eastAsia="Times New Roman" w:hAnsi="Times New Roman"/>
      <w:sz w:val="24"/>
      <w:szCs w:val="24"/>
      <w:lang w:val="en-US"/>
    </w:rPr>
  </w:style>
  <w:style w:type="character" w:styleId="Hiperveza">
    <w:name w:val="Hyperlink"/>
    <w:uiPriority w:val="99"/>
    <w:unhideWhenUsed/>
    <w:rsid w:val="00726EBB"/>
    <w:rPr>
      <w:color w:val="0000FF"/>
      <w:u w:val="single"/>
    </w:rPr>
  </w:style>
  <w:style w:type="paragraph" w:customStyle="1" w:styleId="t-9-8">
    <w:name w:val="t-9-8"/>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styleId="SlijeenaHiperveza">
    <w:name w:val="FollowedHyperlink"/>
    <w:uiPriority w:val="99"/>
    <w:semiHidden/>
    <w:unhideWhenUsed/>
    <w:rsid w:val="00A71198"/>
    <w:rPr>
      <w:color w:val="800080"/>
      <w:u w:val="single"/>
    </w:rPr>
  </w:style>
  <w:style w:type="character" w:customStyle="1" w:styleId="v207invalidact">
    <w:name w:val="v207invalidact"/>
    <w:basedOn w:val="Zadanifontodlomka"/>
    <w:rsid w:val="007D45AF"/>
  </w:style>
  <w:style w:type="paragraph" w:customStyle="1" w:styleId="box466357">
    <w:name w:val="box_466357"/>
    <w:basedOn w:val="Normal"/>
    <w:rsid w:val="001F527E"/>
    <w:pPr>
      <w:spacing w:before="100" w:beforeAutospacing="1" w:after="100" w:afterAutospacing="1" w:line="240" w:lineRule="auto"/>
    </w:pPr>
    <w:rPr>
      <w:rFonts w:ascii="Times New Roman" w:eastAsia="Times New Roman" w:hAnsi="Times New Roman"/>
      <w:sz w:val="24"/>
      <w:szCs w:val="24"/>
      <w:lang w:eastAsia="hr-HR"/>
    </w:rPr>
  </w:style>
  <w:style w:type="character" w:styleId="Nerijeenospominjanje">
    <w:name w:val="Unresolved Mention"/>
    <w:basedOn w:val="Zadanifontodlomka"/>
    <w:uiPriority w:val="99"/>
    <w:semiHidden/>
    <w:unhideWhenUsed/>
    <w:rsid w:val="00667154"/>
    <w:rPr>
      <w:color w:val="605E5C"/>
      <w:shd w:val="clear" w:color="auto" w:fill="E1DFDD"/>
    </w:rPr>
  </w:style>
  <w:style w:type="paragraph" w:customStyle="1" w:styleId="box478224">
    <w:name w:val="box_478224"/>
    <w:basedOn w:val="Normal"/>
    <w:rsid w:val="0077279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29">
    <w:name w:val="box_478229"/>
    <w:basedOn w:val="Normal"/>
    <w:rsid w:val="00573E4C"/>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32">
    <w:name w:val="box_478232"/>
    <w:basedOn w:val="Normal"/>
    <w:rsid w:val="00893E9C"/>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kurziv">
    <w:name w:val="kurziv"/>
    <w:basedOn w:val="Zadanifontodlomka"/>
    <w:rsid w:val="00893E9C"/>
  </w:style>
  <w:style w:type="paragraph" w:customStyle="1" w:styleId="box478309">
    <w:name w:val="box_478309"/>
    <w:basedOn w:val="Normal"/>
    <w:rsid w:val="00554F8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7">
    <w:name w:val="box_478477"/>
    <w:basedOn w:val="Normal"/>
    <w:rsid w:val="000F410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9">
    <w:name w:val="box_478479"/>
    <w:basedOn w:val="Normal"/>
    <w:rsid w:val="0035000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0">
    <w:name w:val="box_478480"/>
    <w:basedOn w:val="Normal"/>
    <w:rsid w:val="003956B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1">
    <w:name w:val="box_478481"/>
    <w:basedOn w:val="Normal"/>
    <w:rsid w:val="00252EC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2">
    <w:name w:val="box_478482"/>
    <w:basedOn w:val="Normal"/>
    <w:rsid w:val="00806163"/>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9">
    <w:name w:val="box_478729"/>
    <w:basedOn w:val="Normal"/>
    <w:rsid w:val="0041540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3">
    <w:name w:val="box_478733"/>
    <w:basedOn w:val="Normal"/>
    <w:rsid w:val="0074017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5">
    <w:name w:val="box_478735"/>
    <w:basedOn w:val="Normal"/>
    <w:rsid w:val="006F736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7">
    <w:name w:val="box_478737"/>
    <w:basedOn w:val="Normal"/>
    <w:rsid w:val="00C9558F"/>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9">
    <w:name w:val="box_478739"/>
    <w:basedOn w:val="Normal"/>
    <w:rsid w:val="00AE7E8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1">
    <w:name w:val="box_478741"/>
    <w:basedOn w:val="Normal"/>
    <w:rsid w:val="00874D5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2">
    <w:name w:val="box_478742"/>
    <w:basedOn w:val="Normal"/>
    <w:rsid w:val="0004174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0">
    <w:name w:val="box_478740"/>
    <w:basedOn w:val="Normal"/>
    <w:rsid w:val="00FE478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6">
    <w:name w:val="box_478736"/>
    <w:basedOn w:val="Normal"/>
    <w:rsid w:val="00A55D6A"/>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4">
    <w:name w:val="box_478734"/>
    <w:basedOn w:val="Normal"/>
    <w:rsid w:val="008F2E0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0">
    <w:name w:val="box_478730"/>
    <w:basedOn w:val="Normal"/>
    <w:rsid w:val="0066474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8">
    <w:name w:val="box_478728"/>
    <w:basedOn w:val="Normal"/>
    <w:rsid w:val="00A0018D"/>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bold">
    <w:name w:val="bold"/>
    <w:basedOn w:val="Zadanifontodlomka"/>
    <w:rsid w:val="00A0018D"/>
  </w:style>
  <w:style w:type="paragraph" w:customStyle="1" w:styleId="box478727">
    <w:name w:val="box_478727"/>
    <w:basedOn w:val="Normal"/>
    <w:rsid w:val="00B1731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59">
    <w:name w:val="box_478459"/>
    <w:basedOn w:val="Normal"/>
    <w:rsid w:val="00F90FC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5">
    <w:name w:val="box_479375"/>
    <w:basedOn w:val="Normal"/>
    <w:rsid w:val="00843DA4"/>
    <w:pPr>
      <w:spacing w:before="100" w:beforeAutospacing="1" w:after="100" w:afterAutospacing="1" w:line="240" w:lineRule="auto"/>
    </w:pPr>
    <w:rPr>
      <w:rFonts w:ascii="Times New Roman" w:eastAsia="Times New Roman" w:hAnsi="Times New Roman"/>
      <w:sz w:val="24"/>
      <w:szCs w:val="24"/>
      <w:lang w:eastAsia="hr-HR"/>
    </w:rPr>
  </w:style>
  <w:style w:type="numbering" w:customStyle="1" w:styleId="Bezpopisa1">
    <w:name w:val="Bez popisa1"/>
    <w:next w:val="Bezpopisa"/>
    <w:uiPriority w:val="99"/>
    <w:semiHidden/>
    <w:unhideWhenUsed/>
    <w:rsid w:val="00D63D0B"/>
  </w:style>
  <w:style w:type="paragraph" w:customStyle="1" w:styleId="msonormal0">
    <w:name w:val="msonormal"/>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6">
    <w:name w:val="box_479376"/>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916">
    <w:name w:val="box_479916"/>
    <w:basedOn w:val="Normal"/>
    <w:rsid w:val="00453D5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017">
    <w:name w:val="box_480017"/>
    <w:basedOn w:val="Normal"/>
    <w:rsid w:val="00AB6C89"/>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013">
    <w:name w:val="box_480013"/>
    <w:basedOn w:val="Normal"/>
    <w:rsid w:val="00A21FD2"/>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407">
    <w:name w:val="box_480407"/>
    <w:basedOn w:val="Normal"/>
    <w:rsid w:val="008E242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497">
    <w:name w:val="box_480497"/>
    <w:basedOn w:val="Normal"/>
    <w:rsid w:val="00E3565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1434">
    <w:name w:val="box_481434"/>
    <w:basedOn w:val="Normal"/>
    <w:rsid w:val="00856A9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1433">
    <w:name w:val="box_481433"/>
    <w:basedOn w:val="Normal"/>
    <w:rsid w:val="00343373"/>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1416">
    <w:name w:val="box_481416"/>
    <w:basedOn w:val="Normal"/>
    <w:rsid w:val="005B1DC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1419">
    <w:name w:val="box_481419"/>
    <w:basedOn w:val="Normal"/>
    <w:rsid w:val="00FF673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1436">
    <w:name w:val="box_481436"/>
    <w:basedOn w:val="Normal"/>
    <w:rsid w:val="00C4781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1422">
    <w:name w:val="box_481422"/>
    <w:basedOn w:val="Normal"/>
    <w:rsid w:val="00BB2622"/>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1435">
    <w:name w:val="box_481435"/>
    <w:basedOn w:val="Normal"/>
    <w:rsid w:val="00ED3991"/>
    <w:pPr>
      <w:spacing w:before="100" w:beforeAutospacing="1" w:after="100" w:afterAutospacing="1" w:line="240" w:lineRule="auto"/>
    </w:pPr>
    <w:rPr>
      <w:rFonts w:ascii="Times New Roman" w:eastAsia="Times New Roman" w:hAnsi="Times New Roman"/>
      <w:sz w:val="24"/>
      <w:szCs w:val="24"/>
      <w:lang w:eastAsia="hr-HR"/>
    </w:rPr>
  </w:style>
  <w:style w:type="numbering" w:customStyle="1" w:styleId="Bezpopisa2">
    <w:name w:val="Bez popisa2"/>
    <w:next w:val="Bezpopisa"/>
    <w:uiPriority w:val="99"/>
    <w:semiHidden/>
    <w:unhideWhenUsed/>
    <w:rsid w:val="007E17BF"/>
  </w:style>
  <w:style w:type="paragraph" w:customStyle="1" w:styleId="box481524">
    <w:name w:val="box_481524"/>
    <w:basedOn w:val="Normal"/>
    <w:rsid w:val="007E17BF"/>
    <w:pPr>
      <w:spacing w:before="100" w:beforeAutospacing="1" w:after="100" w:afterAutospacing="1" w:line="240" w:lineRule="auto"/>
    </w:pPr>
    <w:rPr>
      <w:rFonts w:ascii="Times New Roman" w:eastAsia="Times New Roman" w:hAnsi="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010">
      <w:bodyDiv w:val="1"/>
      <w:marLeft w:val="0"/>
      <w:marRight w:val="0"/>
      <w:marTop w:val="0"/>
      <w:marBottom w:val="0"/>
      <w:divBdr>
        <w:top w:val="none" w:sz="0" w:space="0" w:color="auto"/>
        <w:left w:val="none" w:sz="0" w:space="0" w:color="auto"/>
        <w:bottom w:val="none" w:sz="0" w:space="0" w:color="auto"/>
        <w:right w:val="none" w:sz="0" w:space="0" w:color="auto"/>
      </w:divBdr>
    </w:div>
    <w:div w:id="34500857">
      <w:bodyDiv w:val="1"/>
      <w:marLeft w:val="0"/>
      <w:marRight w:val="0"/>
      <w:marTop w:val="0"/>
      <w:marBottom w:val="0"/>
      <w:divBdr>
        <w:top w:val="none" w:sz="0" w:space="0" w:color="auto"/>
        <w:left w:val="none" w:sz="0" w:space="0" w:color="auto"/>
        <w:bottom w:val="none" w:sz="0" w:space="0" w:color="auto"/>
        <w:right w:val="none" w:sz="0" w:space="0" w:color="auto"/>
      </w:divBdr>
    </w:div>
    <w:div w:id="56369313">
      <w:bodyDiv w:val="1"/>
      <w:marLeft w:val="0"/>
      <w:marRight w:val="0"/>
      <w:marTop w:val="0"/>
      <w:marBottom w:val="0"/>
      <w:divBdr>
        <w:top w:val="none" w:sz="0" w:space="0" w:color="auto"/>
        <w:left w:val="none" w:sz="0" w:space="0" w:color="auto"/>
        <w:bottom w:val="none" w:sz="0" w:space="0" w:color="auto"/>
        <w:right w:val="none" w:sz="0" w:space="0" w:color="auto"/>
      </w:divBdr>
    </w:div>
    <w:div w:id="70273453">
      <w:bodyDiv w:val="1"/>
      <w:marLeft w:val="0"/>
      <w:marRight w:val="0"/>
      <w:marTop w:val="0"/>
      <w:marBottom w:val="0"/>
      <w:divBdr>
        <w:top w:val="none" w:sz="0" w:space="0" w:color="auto"/>
        <w:left w:val="none" w:sz="0" w:space="0" w:color="auto"/>
        <w:bottom w:val="none" w:sz="0" w:space="0" w:color="auto"/>
        <w:right w:val="none" w:sz="0" w:space="0" w:color="auto"/>
      </w:divBdr>
    </w:div>
    <w:div w:id="90978213">
      <w:bodyDiv w:val="1"/>
      <w:marLeft w:val="0"/>
      <w:marRight w:val="0"/>
      <w:marTop w:val="0"/>
      <w:marBottom w:val="0"/>
      <w:divBdr>
        <w:top w:val="none" w:sz="0" w:space="0" w:color="auto"/>
        <w:left w:val="none" w:sz="0" w:space="0" w:color="auto"/>
        <w:bottom w:val="none" w:sz="0" w:space="0" w:color="auto"/>
        <w:right w:val="none" w:sz="0" w:space="0" w:color="auto"/>
      </w:divBdr>
    </w:div>
    <w:div w:id="99303471">
      <w:bodyDiv w:val="1"/>
      <w:marLeft w:val="0"/>
      <w:marRight w:val="0"/>
      <w:marTop w:val="0"/>
      <w:marBottom w:val="0"/>
      <w:divBdr>
        <w:top w:val="none" w:sz="0" w:space="0" w:color="auto"/>
        <w:left w:val="none" w:sz="0" w:space="0" w:color="auto"/>
        <w:bottom w:val="none" w:sz="0" w:space="0" w:color="auto"/>
        <w:right w:val="none" w:sz="0" w:space="0" w:color="auto"/>
      </w:divBdr>
    </w:div>
    <w:div w:id="101464104">
      <w:bodyDiv w:val="1"/>
      <w:marLeft w:val="0"/>
      <w:marRight w:val="0"/>
      <w:marTop w:val="0"/>
      <w:marBottom w:val="0"/>
      <w:divBdr>
        <w:top w:val="none" w:sz="0" w:space="0" w:color="auto"/>
        <w:left w:val="none" w:sz="0" w:space="0" w:color="auto"/>
        <w:bottom w:val="none" w:sz="0" w:space="0" w:color="auto"/>
        <w:right w:val="none" w:sz="0" w:space="0" w:color="auto"/>
      </w:divBdr>
    </w:div>
    <w:div w:id="123626095">
      <w:bodyDiv w:val="1"/>
      <w:marLeft w:val="0"/>
      <w:marRight w:val="0"/>
      <w:marTop w:val="0"/>
      <w:marBottom w:val="0"/>
      <w:divBdr>
        <w:top w:val="none" w:sz="0" w:space="0" w:color="auto"/>
        <w:left w:val="none" w:sz="0" w:space="0" w:color="auto"/>
        <w:bottom w:val="none" w:sz="0" w:space="0" w:color="auto"/>
        <w:right w:val="none" w:sz="0" w:space="0" w:color="auto"/>
      </w:divBdr>
    </w:div>
    <w:div w:id="128283515">
      <w:bodyDiv w:val="1"/>
      <w:marLeft w:val="0"/>
      <w:marRight w:val="0"/>
      <w:marTop w:val="0"/>
      <w:marBottom w:val="0"/>
      <w:divBdr>
        <w:top w:val="none" w:sz="0" w:space="0" w:color="auto"/>
        <w:left w:val="none" w:sz="0" w:space="0" w:color="auto"/>
        <w:bottom w:val="none" w:sz="0" w:space="0" w:color="auto"/>
        <w:right w:val="none" w:sz="0" w:space="0" w:color="auto"/>
      </w:divBdr>
    </w:div>
    <w:div w:id="157353404">
      <w:bodyDiv w:val="1"/>
      <w:marLeft w:val="0"/>
      <w:marRight w:val="0"/>
      <w:marTop w:val="0"/>
      <w:marBottom w:val="0"/>
      <w:divBdr>
        <w:top w:val="none" w:sz="0" w:space="0" w:color="auto"/>
        <w:left w:val="none" w:sz="0" w:space="0" w:color="auto"/>
        <w:bottom w:val="none" w:sz="0" w:space="0" w:color="auto"/>
        <w:right w:val="none" w:sz="0" w:space="0" w:color="auto"/>
      </w:divBdr>
    </w:div>
    <w:div w:id="166210799">
      <w:bodyDiv w:val="1"/>
      <w:marLeft w:val="0"/>
      <w:marRight w:val="0"/>
      <w:marTop w:val="0"/>
      <w:marBottom w:val="0"/>
      <w:divBdr>
        <w:top w:val="none" w:sz="0" w:space="0" w:color="auto"/>
        <w:left w:val="none" w:sz="0" w:space="0" w:color="auto"/>
        <w:bottom w:val="none" w:sz="0" w:space="0" w:color="auto"/>
        <w:right w:val="none" w:sz="0" w:space="0" w:color="auto"/>
      </w:divBdr>
    </w:div>
    <w:div w:id="171720947">
      <w:bodyDiv w:val="1"/>
      <w:marLeft w:val="0"/>
      <w:marRight w:val="0"/>
      <w:marTop w:val="0"/>
      <w:marBottom w:val="0"/>
      <w:divBdr>
        <w:top w:val="none" w:sz="0" w:space="0" w:color="auto"/>
        <w:left w:val="none" w:sz="0" w:space="0" w:color="auto"/>
        <w:bottom w:val="none" w:sz="0" w:space="0" w:color="auto"/>
        <w:right w:val="none" w:sz="0" w:space="0" w:color="auto"/>
      </w:divBdr>
    </w:div>
    <w:div w:id="174685671">
      <w:bodyDiv w:val="1"/>
      <w:marLeft w:val="0"/>
      <w:marRight w:val="0"/>
      <w:marTop w:val="0"/>
      <w:marBottom w:val="0"/>
      <w:divBdr>
        <w:top w:val="none" w:sz="0" w:space="0" w:color="auto"/>
        <w:left w:val="none" w:sz="0" w:space="0" w:color="auto"/>
        <w:bottom w:val="none" w:sz="0" w:space="0" w:color="auto"/>
        <w:right w:val="none" w:sz="0" w:space="0" w:color="auto"/>
      </w:divBdr>
    </w:div>
    <w:div w:id="175193090">
      <w:bodyDiv w:val="1"/>
      <w:marLeft w:val="0"/>
      <w:marRight w:val="0"/>
      <w:marTop w:val="0"/>
      <w:marBottom w:val="0"/>
      <w:divBdr>
        <w:top w:val="none" w:sz="0" w:space="0" w:color="auto"/>
        <w:left w:val="none" w:sz="0" w:space="0" w:color="auto"/>
        <w:bottom w:val="none" w:sz="0" w:space="0" w:color="auto"/>
        <w:right w:val="none" w:sz="0" w:space="0" w:color="auto"/>
      </w:divBdr>
    </w:div>
    <w:div w:id="182327961">
      <w:bodyDiv w:val="1"/>
      <w:marLeft w:val="0"/>
      <w:marRight w:val="0"/>
      <w:marTop w:val="0"/>
      <w:marBottom w:val="0"/>
      <w:divBdr>
        <w:top w:val="none" w:sz="0" w:space="0" w:color="auto"/>
        <w:left w:val="none" w:sz="0" w:space="0" w:color="auto"/>
        <w:bottom w:val="none" w:sz="0" w:space="0" w:color="auto"/>
        <w:right w:val="none" w:sz="0" w:space="0" w:color="auto"/>
      </w:divBdr>
    </w:div>
    <w:div w:id="191462807">
      <w:bodyDiv w:val="1"/>
      <w:marLeft w:val="0"/>
      <w:marRight w:val="0"/>
      <w:marTop w:val="0"/>
      <w:marBottom w:val="0"/>
      <w:divBdr>
        <w:top w:val="none" w:sz="0" w:space="0" w:color="auto"/>
        <w:left w:val="none" w:sz="0" w:space="0" w:color="auto"/>
        <w:bottom w:val="none" w:sz="0" w:space="0" w:color="auto"/>
        <w:right w:val="none" w:sz="0" w:space="0" w:color="auto"/>
      </w:divBdr>
    </w:div>
    <w:div w:id="194470389">
      <w:bodyDiv w:val="1"/>
      <w:marLeft w:val="0"/>
      <w:marRight w:val="0"/>
      <w:marTop w:val="0"/>
      <w:marBottom w:val="0"/>
      <w:divBdr>
        <w:top w:val="none" w:sz="0" w:space="0" w:color="auto"/>
        <w:left w:val="none" w:sz="0" w:space="0" w:color="auto"/>
        <w:bottom w:val="none" w:sz="0" w:space="0" w:color="auto"/>
        <w:right w:val="none" w:sz="0" w:space="0" w:color="auto"/>
      </w:divBdr>
    </w:div>
    <w:div w:id="217790231">
      <w:bodyDiv w:val="1"/>
      <w:marLeft w:val="0"/>
      <w:marRight w:val="0"/>
      <w:marTop w:val="0"/>
      <w:marBottom w:val="0"/>
      <w:divBdr>
        <w:top w:val="none" w:sz="0" w:space="0" w:color="auto"/>
        <w:left w:val="none" w:sz="0" w:space="0" w:color="auto"/>
        <w:bottom w:val="none" w:sz="0" w:space="0" w:color="auto"/>
        <w:right w:val="none" w:sz="0" w:space="0" w:color="auto"/>
      </w:divBdr>
    </w:div>
    <w:div w:id="225260013">
      <w:bodyDiv w:val="1"/>
      <w:marLeft w:val="0"/>
      <w:marRight w:val="0"/>
      <w:marTop w:val="0"/>
      <w:marBottom w:val="0"/>
      <w:divBdr>
        <w:top w:val="none" w:sz="0" w:space="0" w:color="auto"/>
        <w:left w:val="none" w:sz="0" w:space="0" w:color="auto"/>
        <w:bottom w:val="none" w:sz="0" w:space="0" w:color="auto"/>
        <w:right w:val="none" w:sz="0" w:space="0" w:color="auto"/>
      </w:divBdr>
    </w:div>
    <w:div w:id="250701267">
      <w:bodyDiv w:val="1"/>
      <w:marLeft w:val="0"/>
      <w:marRight w:val="0"/>
      <w:marTop w:val="0"/>
      <w:marBottom w:val="0"/>
      <w:divBdr>
        <w:top w:val="none" w:sz="0" w:space="0" w:color="auto"/>
        <w:left w:val="none" w:sz="0" w:space="0" w:color="auto"/>
        <w:bottom w:val="none" w:sz="0" w:space="0" w:color="auto"/>
        <w:right w:val="none" w:sz="0" w:space="0" w:color="auto"/>
      </w:divBdr>
    </w:div>
    <w:div w:id="264969667">
      <w:bodyDiv w:val="1"/>
      <w:marLeft w:val="0"/>
      <w:marRight w:val="0"/>
      <w:marTop w:val="0"/>
      <w:marBottom w:val="0"/>
      <w:divBdr>
        <w:top w:val="none" w:sz="0" w:space="0" w:color="auto"/>
        <w:left w:val="none" w:sz="0" w:space="0" w:color="auto"/>
        <w:bottom w:val="none" w:sz="0" w:space="0" w:color="auto"/>
        <w:right w:val="none" w:sz="0" w:space="0" w:color="auto"/>
      </w:divBdr>
    </w:div>
    <w:div w:id="289821557">
      <w:bodyDiv w:val="1"/>
      <w:marLeft w:val="0"/>
      <w:marRight w:val="0"/>
      <w:marTop w:val="0"/>
      <w:marBottom w:val="0"/>
      <w:divBdr>
        <w:top w:val="none" w:sz="0" w:space="0" w:color="auto"/>
        <w:left w:val="none" w:sz="0" w:space="0" w:color="auto"/>
        <w:bottom w:val="none" w:sz="0" w:space="0" w:color="auto"/>
        <w:right w:val="none" w:sz="0" w:space="0" w:color="auto"/>
      </w:divBdr>
    </w:div>
    <w:div w:id="298808214">
      <w:bodyDiv w:val="1"/>
      <w:marLeft w:val="0"/>
      <w:marRight w:val="0"/>
      <w:marTop w:val="0"/>
      <w:marBottom w:val="0"/>
      <w:divBdr>
        <w:top w:val="none" w:sz="0" w:space="0" w:color="auto"/>
        <w:left w:val="none" w:sz="0" w:space="0" w:color="auto"/>
        <w:bottom w:val="none" w:sz="0" w:space="0" w:color="auto"/>
        <w:right w:val="none" w:sz="0" w:space="0" w:color="auto"/>
      </w:divBdr>
    </w:div>
    <w:div w:id="307170994">
      <w:bodyDiv w:val="1"/>
      <w:marLeft w:val="0"/>
      <w:marRight w:val="0"/>
      <w:marTop w:val="0"/>
      <w:marBottom w:val="0"/>
      <w:divBdr>
        <w:top w:val="none" w:sz="0" w:space="0" w:color="auto"/>
        <w:left w:val="none" w:sz="0" w:space="0" w:color="auto"/>
        <w:bottom w:val="none" w:sz="0" w:space="0" w:color="auto"/>
        <w:right w:val="none" w:sz="0" w:space="0" w:color="auto"/>
      </w:divBdr>
    </w:div>
    <w:div w:id="333724274">
      <w:bodyDiv w:val="1"/>
      <w:marLeft w:val="0"/>
      <w:marRight w:val="0"/>
      <w:marTop w:val="0"/>
      <w:marBottom w:val="0"/>
      <w:divBdr>
        <w:top w:val="none" w:sz="0" w:space="0" w:color="auto"/>
        <w:left w:val="none" w:sz="0" w:space="0" w:color="auto"/>
        <w:bottom w:val="none" w:sz="0" w:space="0" w:color="auto"/>
        <w:right w:val="none" w:sz="0" w:space="0" w:color="auto"/>
      </w:divBdr>
      <w:divsChild>
        <w:div w:id="1352607060">
          <w:marLeft w:val="0"/>
          <w:marRight w:val="0"/>
          <w:marTop w:val="0"/>
          <w:marBottom w:val="0"/>
          <w:divBdr>
            <w:top w:val="single" w:sz="6" w:space="0" w:color="E4E4E6"/>
            <w:left w:val="none" w:sz="0" w:space="0" w:color="auto"/>
            <w:bottom w:val="none" w:sz="0" w:space="0" w:color="auto"/>
            <w:right w:val="none" w:sz="0" w:space="0" w:color="auto"/>
          </w:divBdr>
          <w:divsChild>
            <w:div w:id="775293227">
              <w:marLeft w:val="0"/>
              <w:marRight w:val="0"/>
              <w:marTop w:val="0"/>
              <w:marBottom w:val="0"/>
              <w:divBdr>
                <w:top w:val="none" w:sz="0" w:space="0" w:color="auto"/>
                <w:left w:val="none" w:sz="0" w:space="0" w:color="auto"/>
                <w:bottom w:val="none" w:sz="0" w:space="0" w:color="auto"/>
                <w:right w:val="none" w:sz="0" w:space="0" w:color="auto"/>
              </w:divBdr>
              <w:divsChild>
                <w:div w:id="435559374">
                  <w:marLeft w:val="0"/>
                  <w:marRight w:val="1500"/>
                  <w:marTop w:val="100"/>
                  <w:marBottom w:val="100"/>
                  <w:divBdr>
                    <w:top w:val="none" w:sz="0" w:space="0" w:color="auto"/>
                    <w:left w:val="none" w:sz="0" w:space="0" w:color="auto"/>
                    <w:bottom w:val="none" w:sz="0" w:space="0" w:color="auto"/>
                    <w:right w:val="none" w:sz="0" w:space="0" w:color="auto"/>
                  </w:divBdr>
                  <w:divsChild>
                    <w:div w:id="1619792754">
                      <w:marLeft w:val="0"/>
                      <w:marRight w:val="0"/>
                      <w:marTop w:val="300"/>
                      <w:marBottom w:val="450"/>
                      <w:divBdr>
                        <w:top w:val="none" w:sz="0" w:space="0" w:color="auto"/>
                        <w:left w:val="none" w:sz="0" w:space="0" w:color="auto"/>
                        <w:bottom w:val="none" w:sz="0" w:space="0" w:color="auto"/>
                        <w:right w:val="none" w:sz="0" w:space="0" w:color="auto"/>
                      </w:divBdr>
                      <w:divsChild>
                        <w:div w:id="1874807595">
                          <w:marLeft w:val="0"/>
                          <w:marRight w:val="0"/>
                          <w:marTop w:val="0"/>
                          <w:marBottom w:val="0"/>
                          <w:divBdr>
                            <w:top w:val="none" w:sz="0" w:space="0" w:color="auto"/>
                            <w:left w:val="none" w:sz="0" w:space="0" w:color="auto"/>
                            <w:bottom w:val="none" w:sz="0" w:space="0" w:color="auto"/>
                            <w:right w:val="none" w:sz="0" w:space="0" w:color="auto"/>
                          </w:divBdr>
                          <w:divsChild>
                            <w:div w:id="1859615198">
                              <w:marLeft w:val="0"/>
                              <w:marRight w:val="0"/>
                              <w:marTop w:val="0"/>
                              <w:marBottom w:val="0"/>
                              <w:divBdr>
                                <w:top w:val="none" w:sz="0" w:space="0" w:color="auto"/>
                                <w:left w:val="none" w:sz="0" w:space="0" w:color="auto"/>
                                <w:bottom w:val="none" w:sz="0" w:space="0" w:color="auto"/>
                                <w:right w:val="none" w:sz="0" w:space="0" w:color="auto"/>
                              </w:divBdr>
                              <w:divsChild>
                                <w:div w:id="135534486">
                                  <w:marLeft w:val="0"/>
                                  <w:marRight w:val="0"/>
                                  <w:marTop w:val="0"/>
                                  <w:marBottom w:val="0"/>
                                  <w:divBdr>
                                    <w:top w:val="none" w:sz="0" w:space="0" w:color="auto"/>
                                    <w:left w:val="none" w:sz="0" w:space="0" w:color="auto"/>
                                    <w:bottom w:val="none" w:sz="0" w:space="0" w:color="auto"/>
                                    <w:right w:val="none" w:sz="0" w:space="0" w:color="auto"/>
                                  </w:divBdr>
                                  <w:divsChild>
                                    <w:div w:id="1213344226">
                                      <w:marLeft w:val="0"/>
                                      <w:marRight w:val="0"/>
                                      <w:marTop w:val="300"/>
                                      <w:marBottom w:val="450"/>
                                      <w:divBdr>
                                        <w:top w:val="none" w:sz="0" w:space="0" w:color="auto"/>
                                        <w:left w:val="none" w:sz="0" w:space="0" w:color="auto"/>
                                        <w:bottom w:val="none" w:sz="0" w:space="0" w:color="auto"/>
                                        <w:right w:val="none" w:sz="0" w:space="0" w:color="auto"/>
                                      </w:divBdr>
                                    </w:div>
                                    <w:div w:id="1783379708">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9070545">
      <w:bodyDiv w:val="1"/>
      <w:marLeft w:val="0"/>
      <w:marRight w:val="0"/>
      <w:marTop w:val="0"/>
      <w:marBottom w:val="0"/>
      <w:divBdr>
        <w:top w:val="none" w:sz="0" w:space="0" w:color="auto"/>
        <w:left w:val="none" w:sz="0" w:space="0" w:color="auto"/>
        <w:bottom w:val="none" w:sz="0" w:space="0" w:color="auto"/>
        <w:right w:val="none" w:sz="0" w:space="0" w:color="auto"/>
      </w:divBdr>
    </w:div>
    <w:div w:id="357047300">
      <w:bodyDiv w:val="1"/>
      <w:marLeft w:val="0"/>
      <w:marRight w:val="0"/>
      <w:marTop w:val="0"/>
      <w:marBottom w:val="0"/>
      <w:divBdr>
        <w:top w:val="none" w:sz="0" w:space="0" w:color="auto"/>
        <w:left w:val="none" w:sz="0" w:space="0" w:color="auto"/>
        <w:bottom w:val="none" w:sz="0" w:space="0" w:color="auto"/>
        <w:right w:val="none" w:sz="0" w:space="0" w:color="auto"/>
      </w:divBdr>
    </w:div>
    <w:div w:id="387342834">
      <w:bodyDiv w:val="1"/>
      <w:marLeft w:val="0"/>
      <w:marRight w:val="0"/>
      <w:marTop w:val="0"/>
      <w:marBottom w:val="0"/>
      <w:divBdr>
        <w:top w:val="none" w:sz="0" w:space="0" w:color="auto"/>
        <w:left w:val="none" w:sz="0" w:space="0" w:color="auto"/>
        <w:bottom w:val="none" w:sz="0" w:space="0" w:color="auto"/>
        <w:right w:val="none" w:sz="0" w:space="0" w:color="auto"/>
      </w:divBdr>
    </w:div>
    <w:div w:id="393506455">
      <w:bodyDiv w:val="1"/>
      <w:marLeft w:val="0"/>
      <w:marRight w:val="0"/>
      <w:marTop w:val="0"/>
      <w:marBottom w:val="0"/>
      <w:divBdr>
        <w:top w:val="none" w:sz="0" w:space="0" w:color="auto"/>
        <w:left w:val="none" w:sz="0" w:space="0" w:color="auto"/>
        <w:bottom w:val="none" w:sz="0" w:space="0" w:color="auto"/>
        <w:right w:val="none" w:sz="0" w:space="0" w:color="auto"/>
      </w:divBdr>
    </w:div>
    <w:div w:id="395977239">
      <w:bodyDiv w:val="1"/>
      <w:marLeft w:val="0"/>
      <w:marRight w:val="0"/>
      <w:marTop w:val="0"/>
      <w:marBottom w:val="0"/>
      <w:divBdr>
        <w:top w:val="none" w:sz="0" w:space="0" w:color="auto"/>
        <w:left w:val="none" w:sz="0" w:space="0" w:color="auto"/>
        <w:bottom w:val="none" w:sz="0" w:space="0" w:color="auto"/>
        <w:right w:val="none" w:sz="0" w:space="0" w:color="auto"/>
      </w:divBdr>
    </w:div>
    <w:div w:id="403600407">
      <w:bodyDiv w:val="1"/>
      <w:marLeft w:val="0"/>
      <w:marRight w:val="0"/>
      <w:marTop w:val="0"/>
      <w:marBottom w:val="0"/>
      <w:divBdr>
        <w:top w:val="none" w:sz="0" w:space="0" w:color="auto"/>
        <w:left w:val="none" w:sz="0" w:space="0" w:color="auto"/>
        <w:bottom w:val="none" w:sz="0" w:space="0" w:color="auto"/>
        <w:right w:val="none" w:sz="0" w:space="0" w:color="auto"/>
      </w:divBdr>
      <w:divsChild>
        <w:div w:id="666639297">
          <w:marLeft w:val="0"/>
          <w:marRight w:val="0"/>
          <w:marTop w:val="0"/>
          <w:marBottom w:val="0"/>
          <w:divBdr>
            <w:top w:val="single" w:sz="6" w:space="0" w:color="E4E4E6"/>
            <w:left w:val="none" w:sz="0" w:space="0" w:color="auto"/>
            <w:bottom w:val="none" w:sz="0" w:space="0" w:color="auto"/>
            <w:right w:val="none" w:sz="0" w:space="0" w:color="auto"/>
          </w:divBdr>
          <w:divsChild>
            <w:div w:id="1228303549">
              <w:marLeft w:val="0"/>
              <w:marRight w:val="0"/>
              <w:marTop w:val="0"/>
              <w:marBottom w:val="0"/>
              <w:divBdr>
                <w:top w:val="none" w:sz="0" w:space="0" w:color="auto"/>
                <w:left w:val="none" w:sz="0" w:space="0" w:color="auto"/>
                <w:bottom w:val="none" w:sz="0" w:space="0" w:color="auto"/>
                <w:right w:val="none" w:sz="0" w:space="0" w:color="auto"/>
              </w:divBdr>
              <w:divsChild>
                <w:div w:id="1712072855">
                  <w:marLeft w:val="0"/>
                  <w:marRight w:val="1500"/>
                  <w:marTop w:val="100"/>
                  <w:marBottom w:val="100"/>
                  <w:divBdr>
                    <w:top w:val="none" w:sz="0" w:space="0" w:color="auto"/>
                    <w:left w:val="none" w:sz="0" w:space="0" w:color="auto"/>
                    <w:bottom w:val="none" w:sz="0" w:space="0" w:color="auto"/>
                    <w:right w:val="none" w:sz="0" w:space="0" w:color="auto"/>
                  </w:divBdr>
                  <w:divsChild>
                    <w:div w:id="1719432293">
                      <w:marLeft w:val="0"/>
                      <w:marRight w:val="0"/>
                      <w:marTop w:val="300"/>
                      <w:marBottom w:val="450"/>
                      <w:divBdr>
                        <w:top w:val="none" w:sz="0" w:space="0" w:color="auto"/>
                        <w:left w:val="none" w:sz="0" w:space="0" w:color="auto"/>
                        <w:bottom w:val="none" w:sz="0" w:space="0" w:color="auto"/>
                        <w:right w:val="none" w:sz="0" w:space="0" w:color="auto"/>
                      </w:divBdr>
                      <w:divsChild>
                        <w:div w:id="1304197311">
                          <w:marLeft w:val="0"/>
                          <w:marRight w:val="0"/>
                          <w:marTop w:val="0"/>
                          <w:marBottom w:val="0"/>
                          <w:divBdr>
                            <w:top w:val="none" w:sz="0" w:space="0" w:color="auto"/>
                            <w:left w:val="none" w:sz="0" w:space="0" w:color="auto"/>
                            <w:bottom w:val="none" w:sz="0" w:space="0" w:color="auto"/>
                            <w:right w:val="none" w:sz="0" w:space="0" w:color="auto"/>
                          </w:divBdr>
                          <w:divsChild>
                            <w:div w:id="2108035749">
                              <w:marLeft w:val="0"/>
                              <w:marRight w:val="0"/>
                              <w:marTop w:val="0"/>
                              <w:marBottom w:val="0"/>
                              <w:divBdr>
                                <w:top w:val="none" w:sz="0" w:space="0" w:color="auto"/>
                                <w:left w:val="none" w:sz="0" w:space="0" w:color="auto"/>
                                <w:bottom w:val="none" w:sz="0" w:space="0" w:color="auto"/>
                                <w:right w:val="none" w:sz="0" w:space="0" w:color="auto"/>
                              </w:divBdr>
                              <w:divsChild>
                                <w:div w:id="2070810858">
                                  <w:marLeft w:val="0"/>
                                  <w:marRight w:val="0"/>
                                  <w:marTop w:val="0"/>
                                  <w:marBottom w:val="0"/>
                                  <w:divBdr>
                                    <w:top w:val="none" w:sz="0" w:space="0" w:color="auto"/>
                                    <w:left w:val="none" w:sz="0" w:space="0" w:color="auto"/>
                                    <w:bottom w:val="none" w:sz="0" w:space="0" w:color="auto"/>
                                    <w:right w:val="none" w:sz="0" w:space="0" w:color="auto"/>
                                  </w:divBdr>
                                  <w:divsChild>
                                    <w:div w:id="1197890566">
                                      <w:marLeft w:val="0"/>
                                      <w:marRight w:val="0"/>
                                      <w:marTop w:val="300"/>
                                      <w:marBottom w:val="450"/>
                                      <w:divBdr>
                                        <w:top w:val="none" w:sz="0" w:space="0" w:color="auto"/>
                                        <w:left w:val="none" w:sz="0" w:space="0" w:color="auto"/>
                                        <w:bottom w:val="none" w:sz="0" w:space="0" w:color="auto"/>
                                        <w:right w:val="none" w:sz="0" w:space="0" w:color="auto"/>
                                      </w:divBdr>
                                    </w:div>
                                    <w:div w:id="1862669553">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3283701">
      <w:bodyDiv w:val="1"/>
      <w:marLeft w:val="0"/>
      <w:marRight w:val="0"/>
      <w:marTop w:val="0"/>
      <w:marBottom w:val="0"/>
      <w:divBdr>
        <w:top w:val="none" w:sz="0" w:space="0" w:color="auto"/>
        <w:left w:val="none" w:sz="0" w:space="0" w:color="auto"/>
        <w:bottom w:val="none" w:sz="0" w:space="0" w:color="auto"/>
        <w:right w:val="none" w:sz="0" w:space="0" w:color="auto"/>
      </w:divBdr>
    </w:div>
    <w:div w:id="451293145">
      <w:bodyDiv w:val="1"/>
      <w:marLeft w:val="0"/>
      <w:marRight w:val="0"/>
      <w:marTop w:val="0"/>
      <w:marBottom w:val="0"/>
      <w:divBdr>
        <w:top w:val="none" w:sz="0" w:space="0" w:color="auto"/>
        <w:left w:val="none" w:sz="0" w:space="0" w:color="auto"/>
        <w:bottom w:val="none" w:sz="0" w:space="0" w:color="auto"/>
        <w:right w:val="none" w:sz="0" w:space="0" w:color="auto"/>
      </w:divBdr>
    </w:div>
    <w:div w:id="464809031">
      <w:bodyDiv w:val="1"/>
      <w:marLeft w:val="0"/>
      <w:marRight w:val="0"/>
      <w:marTop w:val="0"/>
      <w:marBottom w:val="0"/>
      <w:divBdr>
        <w:top w:val="none" w:sz="0" w:space="0" w:color="auto"/>
        <w:left w:val="none" w:sz="0" w:space="0" w:color="auto"/>
        <w:bottom w:val="none" w:sz="0" w:space="0" w:color="auto"/>
        <w:right w:val="none" w:sz="0" w:space="0" w:color="auto"/>
      </w:divBdr>
    </w:div>
    <w:div w:id="537594291">
      <w:bodyDiv w:val="1"/>
      <w:marLeft w:val="0"/>
      <w:marRight w:val="0"/>
      <w:marTop w:val="0"/>
      <w:marBottom w:val="0"/>
      <w:divBdr>
        <w:top w:val="none" w:sz="0" w:space="0" w:color="auto"/>
        <w:left w:val="none" w:sz="0" w:space="0" w:color="auto"/>
        <w:bottom w:val="none" w:sz="0" w:space="0" w:color="auto"/>
        <w:right w:val="none" w:sz="0" w:space="0" w:color="auto"/>
      </w:divBdr>
    </w:div>
    <w:div w:id="539055131">
      <w:bodyDiv w:val="1"/>
      <w:marLeft w:val="0"/>
      <w:marRight w:val="0"/>
      <w:marTop w:val="0"/>
      <w:marBottom w:val="0"/>
      <w:divBdr>
        <w:top w:val="none" w:sz="0" w:space="0" w:color="auto"/>
        <w:left w:val="none" w:sz="0" w:space="0" w:color="auto"/>
        <w:bottom w:val="none" w:sz="0" w:space="0" w:color="auto"/>
        <w:right w:val="none" w:sz="0" w:space="0" w:color="auto"/>
      </w:divBdr>
    </w:div>
    <w:div w:id="544413045">
      <w:bodyDiv w:val="1"/>
      <w:marLeft w:val="0"/>
      <w:marRight w:val="0"/>
      <w:marTop w:val="0"/>
      <w:marBottom w:val="0"/>
      <w:divBdr>
        <w:top w:val="none" w:sz="0" w:space="0" w:color="auto"/>
        <w:left w:val="none" w:sz="0" w:space="0" w:color="auto"/>
        <w:bottom w:val="none" w:sz="0" w:space="0" w:color="auto"/>
        <w:right w:val="none" w:sz="0" w:space="0" w:color="auto"/>
      </w:divBdr>
    </w:div>
    <w:div w:id="575014475">
      <w:bodyDiv w:val="1"/>
      <w:marLeft w:val="0"/>
      <w:marRight w:val="0"/>
      <w:marTop w:val="0"/>
      <w:marBottom w:val="0"/>
      <w:divBdr>
        <w:top w:val="none" w:sz="0" w:space="0" w:color="auto"/>
        <w:left w:val="none" w:sz="0" w:space="0" w:color="auto"/>
        <w:bottom w:val="none" w:sz="0" w:space="0" w:color="auto"/>
        <w:right w:val="none" w:sz="0" w:space="0" w:color="auto"/>
      </w:divBdr>
    </w:div>
    <w:div w:id="646400712">
      <w:bodyDiv w:val="1"/>
      <w:marLeft w:val="0"/>
      <w:marRight w:val="0"/>
      <w:marTop w:val="0"/>
      <w:marBottom w:val="0"/>
      <w:divBdr>
        <w:top w:val="none" w:sz="0" w:space="0" w:color="auto"/>
        <w:left w:val="none" w:sz="0" w:space="0" w:color="auto"/>
        <w:bottom w:val="none" w:sz="0" w:space="0" w:color="auto"/>
        <w:right w:val="none" w:sz="0" w:space="0" w:color="auto"/>
      </w:divBdr>
    </w:div>
    <w:div w:id="655884919">
      <w:bodyDiv w:val="1"/>
      <w:marLeft w:val="0"/>
      <w:marRight w:val="0"/>
      <w:marTop w:val="0"/>
      <w:marBottom w:val="0"/>
      <w:divBdr>
        <w:top w:val="none" w:sz="0" w:space="0" w:color="auto"/>
        <w:left w:val="none" w:sz="0" w:space="0" w:color="auto"/>
        <w:bottom w:val="none" w:sz="0" w:space="0" w:color="auto"/>
        <w:right w:val="none" w:sz="0" w:space="0" w:color="auto"/>
      </w:divBdr>
    </w:div>
    <w:div w:id="659624195">
      <w:bodyDiv w:val="1"/>
      <w:marLeft w:val="0"/>
      <w:marRight w:val="0"/>
      <w:marTop w:val="0"/>
      <w:marBottom w:val="0"/>
      <w:divBdr>
        <w:top w:val="none" w:sz="0" w:space="0" w:color="auto"/>
        <w:left w:val="none" w:sz="0" w:space="0" w:color="auto"/>
        <w:bottom w:val="none" w:sz="0" w:space="0" w:color="auto"/>
        <w:right w:val="none" w:sz="0" w:space="0" w:color="auto"/>
      </w:divBdr>
    </w:div>
    <w:div w:id="738557002">
      <w:bodyDiv w:val="1"/>
      <w:marLeft w:val="0"/>
      <w:marRight w:val="0"/>
      <w:marTop w:val="0"/>
      <w:marBottom w:val="0"/>
      <w:divBdr>
        <w:top w:val="none" w:sz="0" w:space="0" w:color="auto"/>
        <w:left w:val="none" w:sz="0" w:space="0" w:color="auto"/>
        <w:bottom w:val="none" w:sz="0" w:space="0" w:color="auto"/>
        <w:right w:val="none" w:sz="0" w:space="0" w:color="auto"/>
      </w:divBdr>
    </w:div>
    <w:div w:id="744961824">
      <w:bodyDiv w:val="1"/>
      <w:marLeft w:val="0"/>
      <w:marRight w:val="0"/>
      <w:marTop w:val="0"/>
      <w:marBottom w:val="0"/>
      <w:divBdr>
        <w:top w:val="none" w:sz="0" w:space="0" w:color="auto"/>
        <w:left w:val="none" w:sz="0" w:space="0" w:color="auto"/>
        <w:bottom w:val="none" w:sz="0" w:space="0" w:color="auto"/>
        <w:right w:val="none" w:sz="0" w:space="0" w:color="auto"/>
      </w:divBdr>
    </w:div>
    <w:div w:id="754864251">
      <w:bodyDiv w:val="1"/>
      <w:marLeft w:val="0"/>
      <w:marRight w:val="0"/>
      <w:marTop w:val="0"/>
      <w:marBottom w:val="0"/>
      <w:divBdr>
        <w:top w:val="none" w:sz="0" w:space="0" w:color="auto"/>
        <w:left w:val="none" w:sz="0" w:space="0" w:color="auto"/>
        <w:bottom w:val="none" w:sz="0" w:space="0" w:color="auto"/>
        <w:right w:val="none" w:sz="0" w:space="0" w:color="auto"/>
      </w:divBdr>
    </w:div>
    <w:div w:id="787814410">
      <w:bodyDiv w:val="1"/>
      <w:marLeft w:val="0"/>
      <w:marRight w:val="0"/>
      <w:marTop w:val="0"/>
      <w:marBottom w:val="0"/>
      <w:divBdr>
        <w:top w:val="none" w:sz="0" w:space="0" w:color="auto"/>
        <w:left w:val="none" w:sz="0" w:space="0" w:color="auto"/>
        <w:bottom w:val="none" w:sz="0" w:space="0" w:color="auto"/>
        <w:right w:val="none" w:sz="0" w:space="0" w:color="auto"/>
      </w:divBdr>
    </w:div>
    <w:div w:id="814682844">
      <w:bodyDiv w:val="1"/>
      <w:marLeft w:val="0"/>
      <w:marRight w:val="0"/>
      <w:marTop w:val="0"/>
      <w:marBottom w:val="0"/>
      <w:divBdr>
        <w:top w:val="none" w:sz="0" w:space="0" w:color="auto"/>
        <w:left w:val="none" w:sz="0" w:space="0" w:color="auto"/>
        <w:bottom w:val="none" w:sz="0" w:space="0" w:color="auto"/>
        <w:right w:val="none" w:sz="0" w:space="0" w:color="auto"/>
      </w:divBdr>
    </w:div>
    <w:div w:id="847787612">
      <w:bodyDiv w:val="1"/>
      <w:marLeft w:val="0"/>
      <w:marRight w:val="0"/>
      <w:marTop w:val="0"/>
      <w:marBottom w:val="0"/>
      <w:divBdr>
        <w:top w:val="none" w:sz="0" w:space="0" w:color="auto"/>
        <w:left w:val="none" w:sz="0" w:space="0" w:color="auto"/>
        <w:bottom w:val="none" w:sz="0" w:space="0" w:color="auto"/>
        <w:right w:val="none" w:sz="0" w:space="0" w:color="auto"/>
      </w:divBdr>
    </w:div>
    <w:div w:id="855388417">
      <w:bodyDiv w:val="1"/>
      <w:marLeft w:val="0"/>
      <w:marRight w:val="0"/>
      <w:marTop w:val="0"/>
      <w:marBottom w:val="0"/>
      <w:divBdr>
        <w:top w:val="none" w:sz="0" w:space="0" w:color="auto"/>
        <w:left w:val="none" w:sz="0" w:space="0" w:color="auto"/>
        <w:bottom w:val="none" w:sz="0" w:space="0" w:color="auto"/>
        <w:right w:val="none" w:sz="0" w:space="0" w:color="auto"/>
      </w:divBdr>
    </w:div>
    <w:div w:id="857817651">
      <w:bodyDiv w:val="1"/>
      <w:marLeft w:val="0"/>
      <w:marRight w:val="0"/>
      <w:marTop w:val="0"/>
      <w:marBottom w:val="0"/>
      <w:divBdr>
        <w:top w:val="none" w:sz="0" w:space="0" w:color="auto"/>
        <w:left w:val="none" w:sz="0" w:space="0" w:color="auto"/>
        <w:bottom w:val="none" w:sz="0" w:space="0" w:color="auto"/>
        <w:right w:val="none" w:sz="0" w:space="0" w:color="auto"/>
      </w:divBdr>
    </w:div>
    <w:div w:id="862137228">
      <w:bodyDiv w:val="1"/>
      <w:marLeft w:val="0"/>
      <w:marRight w:val="0"/>
      <w:marTop w:val="0"/>
      <w:marBottom w:val="0"/>
      <w:divBdr>
        <w:top w:val="none" w:sz="0" w:space="0" w:color="auto"/>
        <w:left w:val="none" w:sz="0" w:space="0" w:color="auto"/>
        <w:bottom w:val="none" w:sz="0" w:space="0" w:color="auto"/>
        <w:right w:val="none" w:sz="0" w:space="0" w:color="auto"/>
      </w:divBdr>
      <w:divsChild>
        <w:div w:id="1154106441">
          <w:marLeft w:val="0"/>
          <w:marRight w:val="0"/>
          <w:marTop w:val="0"/>
          <w:marBottom w:val="0"/>
          <w:divBdr>
            <w:top w:val="none" w:sz="0" w:space="0" w:color="auto"/>
            <w:left w:val="none" w:sz="0" w:space="0" w:color="auto"/>
            <w:bottom w:val="none" w:sz="0" w:space="0" w:color="auto"/>
            <w:right w:val="none" w:sz="0" w:space="0" w:color="auto"/>
          </w:divBdr>
        </w:div>
      </w:divsChild>
    </w:div>
    <w:div w:id="863058496">
      <w:bodyDiv w:val="1"/>
      <w:marLeft w:val="0"/>
      <w:marRight w:val="0"/>
      <w:marTop w:val="0"/>
      <w:marBottom w:val="0"/>
      <w:divBdr>
        <w:top w:val="none" w:sz="0" w:space="0" w:color="auto"/>
        <w:left w:val="none" w:sz="0" w:space="0" w:color="auto"/>
        <w:bottom w:val="none" w:sz="0" w:space="0" w:color="auto"/>
        <w:right w:val="none" w:sz="0" w:space="0" w:color="auto"/>
      </w:divBdr>
    </w:div>
    <w:div w:id="874924324">
      <w:bodyDiv w:val="1"/>
      <w:marLeft w:val="0"/>
      <w:marRight w:val="0"/>
      <w:marTop w:val="0"/>
      <w:marBottom w:val="0"/>
      <w:divBdr>
        <w:top w:val="none" w:sz="0" w:space="0" w:color="auto"/>
        <w:left w:val="none" w:sz="0" w:space="0" w:color="auto"/>
        <w:bottom w:val="none" w:sz="0" w:space="0" w:color="auto"/>
        <w:right w:val="none" w:sz="0" w:space="0" w:color="auto"/>
      </w:divBdr>
    </w:div>
    <w:div w:id="881333640">
      <w:bodyDiv w:val="1"/>
      <w:marLeft w:val="0"/>
      <w:marRight w:val="0"/>
      <w:marTop w:val="0"/>
      <w:marBottom w:val="0"/>
      <w:divBdr>
        <w:top w:val="none" w:sz="0" w:space="0" w:color="auto"/>
        <w:left w:val="none" w:sz="0" w:space="0" w:color="auto"/>
        <w:bottom w:val="none" w:sz="0" w:space="0" w:color="auto"/>
        <w:right w:val="none" w:sz="0" w:space="0" w:color="auto"/>
      </w:divBdr>
    </w:div>
    <w:div w:id="888687178">
      <w:bodyDiv w:val="1"/>
      <w:marLeft w:val="0"/>
      <w:marRight w:val="0"/>
      <w:marTop w:val="0"/>
      <w:marBottom w:val="0"/>
      <w:divBdr>
        <w:top w:val="none" w:sz="0" w:space="0" w:color="auto"/>
        <w:left w:val="none" w:sz="0" w:space="0" w:color="auto"/>
        <w:bottom w:val="none" w:sz="0" w:space="0" w:color="auto"/>
        <w:right w:val="none" w:sz="0" w:space="0" w:color="auto"/>
      </w:divBdr>
    </w:div>
    <w:div w:id="907301391">
      <w:bodyDiv w:val="1"/>
      <w:marLeft w:val="0"/>
      <w:marRight w:val="0"/>
      <w:marTop w:val="0"/>
      <w:marBottom w:val="0"/>
      <w:divBdr>
        <w:top w:val="none" w:sz="0" w:space="0" w:color="auto"/>
        <w:left w:val="none" w:sz="0" w:space="0" w:color="auto"/>
        <w:bottom w:val="none" w:sz="0" w:space="0" w:color="auto"/>
        <w:right w:val="none" w:sz="0" w:space="0" w:color="auto"/>
      </w:divBdr>
      <w:divsChild>
        <w:div w:id="195702043">
          <w:marLeft w:val="0"/>
          <w:marRight w:val="0"/>
          <w:marTop w:val="0"/>
          <w:marBottom w:val="0"/>
          <w:divBdr>
            <w:top w:val="single" w:sz="6" w:space="0" w:color="E4E4E6"/>
            <w:left w:val="none" w:sz="0" w:space="0" w:color="auto"/>
            <w:bottom w:val="none" w:sz="0" w:space="0" w:color="auto"/>
            <w:right w:val="none" w:sz="0" w:space="0" w:color="auto"/>
          </w:divBdr>
          <w:divsChild>
            <w:div w:id="61415667">
              <w:marLeft w:val="0"/>
              <w:marRight w:val="0"/>
              <w:marTop w:val="0"/>
              <w:marBottom w:val="0"/>
              <w:divBdr>
                <w:top w:val="none" w:sz="0" w:space="0" w:color="auto"/>
                <w:left w:val="none" w:sz="0" w:space="0" w:color="auto"/>
                <w:bottom w:val="none" w:sz="0" w:space="0" w:color="auto"/>
                <w:right w:val="none" w:sz="0" w:space="0" w:color="auto"/>
              </w:divBdr>
              <w:divsChild>
                <w:div w:id="1820002762">
                  <w:marLeft w:val="0"/>
                  <w:marRight w:val="1500"/>
                  <w:marTop w:val="100"/>
                  <w:marBottom w:val="100"/>
                  <w:divBdr>
                    <w:top w:val="none" w:sz="0" w:space="0" w:color="auto"/>
                    <w:left w:val="none" w:sz="0" w:space="0" w:color="auto"/>
                    <w:bottom w:val="none" w:sz="0" w:space="0" w:color="auto"/>
                    <w:right w:val="none" w:sz="0" w:space="0" w:color="auto"/>
                  </w:divBdr>
                  <w:divsChild>
                    <w:div w:id="1973631667">
                      <w:marLeft w:val="0"/>
                      <w:marRight w:val="0"/>
                      <w:marTop w:val="300"/>
                      <w:marBottom w:val="450"/>
                      <w:divBdr>
                        <w:top w:val="none" w:sz="0" w:space="0" w:color="auto"/>
                        <w:left w:val="none" w:sz="0" w:space="0" w:color="auto"/>
                        <w:bottom w:val="none" w:sz="0" w:space="0" w:color="auto"/>
                        <w:right w:val="none" w:sz="0" w:space="0" w:color="auto"/>
                      </w:divBdr>
                      <w:divsChild>
                        <w:div w:id="1153790447">
                          <w:marLeft w:val="0"/>
                          <w:marRight w:val="0"/>
                          <w:marTop w:val="0"/>
                          <w:marBottom w:val="0"/>
                          <w:divBdr>
                            <w:top w:val="none" w:sz="0" w:space="0" w:color="auto"/>
                            <w:left w:val="none" w:sz="0" w:space="0" w:color="auto"/>
                            <w:bottom w:val="none" w:sz="0" w:space="0" w:color="auto"/>
                            <w:right w:val="none" w:sz="0" w:space="0" w:color="auto"/>
                          </w:divBdr>
                          <w:divsChild>
                            <w:div w:id="329450771">
                              <w:marLeft w:val="0"/>
                              <w:marRight w:val="0"/>
                              <w:marTop w:val="0"/>
                              <w:marBottom w:val="0"/>
                              <w:divBdr>
                                <w:top w:val="none" w:sz="0" w:space="0" w:color="auto"/>
                                <w:left w:val="none" w:sz="0" w:space="0" w:color="auto"/>
                                <w:bottom w:val="none" w:sz="0" w:space="0" w:color="auto"/>
                                <w:right w:val="none" w:sz="0" w:space="0" w:color="auto"/>
                              </w:divBdr>
                              <w:divsChild>
                                <w:div w:id="294071183">
                                  <w:marLeft w:val="0"/>
                                  <w:marRight w:val="0"/>
                                  <w:marTop w:val="0"/>
                                  <w:marBottom w:val="0"/>
                                  <w:divBdr>
                                    <w:top w:val="none" w:sz="0" w:space="0" w:color="auto"/>
                                    <w:left w:val="none" w:sz="0" w:space="0" w:color="auto"/>
                                    <w:bottom w:val="none" w:sz="0" w:space="0" w:color="auto"/>
                                    <w:right w:val="none" w:sz="0" w:space="0" w:color="auto"/>
                                  </w:divBdr>
                                  <w:divsChild>
                                    <w:div w:id="2003778003">
                                      <w:marLeft w:val="0"/>
                                      <w:marRight w:val="0"/>
                                      <w:marTop w:val="300"/>
                                      <w:marBottom w:val="450"/>
                                      <w:divBdr>
                                        <w:top w:val="none" w:sz="0" w:space="0" w:color="auto"/>
                                        <w:left w:val="none" w:sz="0" w:space="0" w:color="auto"/>
                                        <w:bottom w:val="none" w:sz="0" w:space="0" w:color="auto"/>
                                        <w:right w:val="none" w:sz="0" w:space="0" w:color="auto"/>
                                      </w:divBdr>
                                    </w:div>
                                    <w:div w:id="2037462744">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0605976">
      <w:bodyDiv w:val="1"/>
      <w:marLeft w:val="0"/>
      <w:marRight w:val="0"/>
      <w:marTop w:val="0"/>
      <w:marBottom w:val="0"/>
      <w:divBdr>
        <w:top w:val="none" w:sz="0" w:space="0" w:color="auto"/>
        <w:left w:val="none" w:sz="0" w:space="0" w:color="auto"/>
        <w:bottom w:val="none" w:sz="0" w:space="0" w:color="auto"/>
        <w:right w:val="none" w:sz="0" w:space="0" w:color="auto"/>
      </w:divBdr>
    </w:div>
    <w:div w:id="966158177">
      <w:bodyDiv w:val="1"/>
      <w:marLeft w:val="0"/>
      <w:marRight w:val="0"/>
      <w:marTop w:val="0"/>
      <w:marBottom w:val="0"/>
      <w:divBdr>
        <w:top w:val="none" w:sz="0" w:space="0" w:color="auto"/>
        <w:left w:val="none" w:sz="0" w:space="0" w:color="auto"/>
        <w:bottom w:val="none" w:sz="0" w:space="0" w:color="auto"/>
        <w:right w:val="none" w:sz="0" w:space="0" w:color="auto"/>
      </w:divBdr>
    </w:div>
    <w:div w:id="968776849">
      <w:bodyDiv w:val="1"/>
      <w:marLeft w:val="0"/>
      <w:marRight w:val="0"/>
      <w:marTop w:val="0"/>
      <w:marBottom w:val="0"/>
      <w:divBdr>
        <w:top w:val="none" w:sz="0" w:space="0" w:color="auto"/>
        <w:left w:val="none" w:sz="0" w:space="0" w:color="auto"/>
        <w:bottom w:val="none" w:sz="0" w:space="0" w:color="auto"/>
        <w:right w:val="none" w:sz="0" w:space="0" w:color="auto"/>
      </w:divBdr>
    </w:div>
    <w:div w:id="977034383">
      <w:bodyDiv w:val="1"/>
      <w:marLeft w:val="0"/>
      <w:marRight w:val="0"/>
      <w:marTop w:val="0"/>
      <w:marBottom w:val="0"/>
      <w:divBdr>
        <w:top w:val="none" w:sz="0" w:space="0" w:color="auto"/>
        <w:left w:val="none" w:sz="0" w:space="0" w:color="auto"/>
        <w:bottom w:val="none" w:sz="0" w:space="0" w:color="auto"/>
        <w:right w:val="none" w:sz="0" w:space="0" w:color="auto"/>
      </w:divBdr>
    </w:div>
    <w:div w:id="1003044144">
      <w:bodyDiv w:val="1"/>
      <w:marLeft w:val="0"/>
      <w:marRight w:val="0"/>
      <w:marTop w:val="0"/>
      <w:marBottom w:val="0"/>
      <w:divBdr>
        <w:top w:val="none" w:sz="0" w:space="0" w:color="auto"/>
        <w:left w:val="none" w:sz="0" w:space="0" w:color="auto"/>
        <w:bottom w:val="none" w:sz="0" w:space="0" w:color="auto"/>
        <w:right w:val="none" w:sz="0" w:space="0" w:color="auto"/>
      </w:divBdr>
    </w:div>
    <w:div w:id="1025180493">
      <w:bodyDiv w:val="1"/>
      <w:marLeft w:val="0"/>
      <w:marRight w:val="0"/>
      <w:marTop w:val="0"/>
      <w:marBottom w:val="0"/>
      <w:divBdr>
        <w:top w:val="none" w:sz="0" w:space="0" w:color="auto"/>
        <w:left w:val="none" w:sz="0" w:space="0" w:color="auto"/>
        <w:bottom w:val="none" w:sz="0" w:space="0" w:color="auto"/>
        <w:right w:val="none" w:sz="0" w:space="0" w:color="auto"/>
      </w:divBdr>
    </w:div>
    <w:div w:id="1031614634">
      <w:bodyDiv w:val="1"/>
      <w:marLeft w:val="0"/>
      <w:marRight w:val="0"/>
      <w:marTop w:val="0"/>
      <w:marBottom w:val="0"/>
      <w:divBdr>
        <w:top w:val="none" w:sz="0" w:space="0" w:color="auto"/>
        <w:left w:val="none" w:sz="0" w:space="0" w:color="auto"/>
        <w:bottom w:val="none" w:sz="0" w:space="0" w:color="auto"/>
        <w:right w:val="none" w:sz="0" w:space="0" w:color="auto"/>
      </w:divBdr>
    </w:div>
    <w:div w:id="1040712682">
      <w:bodyDiv w:val="1"/>
      <w:marLeft w:val="0"/>
      <w:marRight w:val="0"/>
      <w:marTop w:val="0"/>
      <w:marBottom w:val="0"/>
      <w:divBdr>
        <w:top w:val="none" w:sz="0" w:space="0" w:color="auto"/>
        <w:left w:val="none" w:sz="0" w:space="0" w:color="auto"/>
        <w:bottom w:val="none" w:sz="0" w:space="0" w:color="auto"/>
        <w:right w:val="none" w:sz="0" w:space="0" w:color="auto"/>
      </w:divBdr>
    </w:div>
    <w:div w:id="1055860721">
      <w:bodyDiv w:val="1"/>
      <w:marLeft w:val="0"/>
      <w:marRight w:val="0"/>
      <w:marTop w:val="0"/>
      <w:marBottom w:val="0"/>
      <w:divBdr>
        <w:top w:val="none" w:sz="0" w:space="0" w:color="auto"/>
        <w:left w:val="none" w:sz="0" w:space="0" w:color="auto"/>
        <w:bottom w:val="none" w:sz="0" w:space="0" w:color="auto"/>
        <w:right w:val="none" w:sz="0" w:space="0" w:color="auto"/>
      </w:divBdr>
    </w:div>
    <w:div w:id="1062095604">
      <w:bodyDiv w:val="1"/>
      <w:marLeft w:val="0"/>
      <w:marRight w:val="0"/>
      <w:marTop w:val="0"/>
      <w:marBottom w:val="0"/>
      <w:divBdr>
        <w:top w:val="none" w:sz="0" w:space="0" w:color="auto"/>
        <w:left w:val="none" w:sz="0" w:space="0" w:color="auto"/>
        <w:bottom w:val="none" w:sz="0" w:space="0" w:color="auto"/>
        <w:right w:val="none" w:sz="0" w:space="0" w:color="auto"/>
      </w:divBdr>
    </w:div>
    <w:div w:id="1073818271">
      <w:bodyDiv w:val="1"/>
      <w:marLeft w:val="0"/>
      <w:marRight w:val="0"/>
      <w:marTop w:val="0"/>
      <w:marBottom w:val="0"/>
      <w:divBdr>
        <w:top w:val="none" w:sz="0" w:space="0" w:color="auto"/>
        <w:left w:val="none" w:sz="0" w:space="0" w:color="auto"/>
        <w:bottom w:val="none" w:sz="0" w:space="0" w:color="auto"/>
        <w:right w:val="none" w:sz="0" w:space="0" w:color="auto"/>
      </w:divBdr>
    </w:div>
    <w:div w:id="1074738027">
      <w:bodyDiv w:val="1"/>
      <w:marLeft w:val="0"/>
      <w:marRight w:val="0"/>
      <w:marTop w:val="0"/>
      <w:marBottom w:val="0"/>
      <w:divBdr>
        <w:top w:val="none" w:sz="0" w:space="0" w:color="auto"/>
        <w:left w:val="none" w:sz="0" w:space="0" w:color="auto"/>
        <w:bottom w:val="none" w:sz="0" w:space="0" w:color="auto"/>
        <w:right w:val="none" w:sz="0" w:space="0" w:color="auto"/>
      </w:divBdr>
    </w:div>
    <w:div w:id="1076367807">
      <w:bodyDiv w:val="1"/>
      <w:marLeft w:val="0"/>
      <w:marRight w:val="0"/>
      <w:marTop w:val="0"/>
      <w:marBottom w:val="0"/>
      <w:divBdr>
        <w:top w:val="none" w:sz="0" w:space="0" w:color="auto"/>
        <w:left w:val="none" w:sz="0" w:space="0" w:color="auto"/>
        <w:bottom w:val="none" w:sz="0" w:space="0" w:color="auto"/>
        <w:right w:val="none" w:sz="0" w:space="0" w:color="auto"/>
      </w:divBdr>
    </w:div>
    <w:div w:id="1076627615">
      <w:bodyDiv w:val="1"/>
      <w:marLeft w:val="0"/>
      <w:marRight w:val="0"/>
      <w:marTop w:val="0"/>
      <w:marBottom w:val="0"/>
      <w:divBdr>
        <w:top w:val="none" w:sz="0" w:space="0" w:color="auto"/>
        <w:left w:val="none" w:sz="0" w:space="0" w:color="auto"/>
        <w:bottom w:val="none" w:sz="0" w:space="0" w:color="auto"/>
        <w:right w:val="none" w:sz="0" w:space="0" w:color="auto"/>
      </w:divBdr>
    </w:div>
    <w:div w:id="1087575511">
      <w:bodyDiv w:val="1"/>
      <w:marLeft w:val="0"/>
      <w:marRight w:val="0"/>
      <w:marTop w:val="0"/>
      <w:marBottom w:val="0"/>
      <w:divBdr>
        <w:top w:val="none" w:sz="0" w:space="0" w:color="auto"/>
        <w:left w:val="none" w:sz="0" w:space="0" w:color="auto"/>
        <w:bottom w:val="none" w:sz="0" w:space="0" w:color="auto"/>
        <w:right w:val="none" w:sz="0" w:space="0" w:color="auto"/>
      </w:divBdr>
    </w:div>
    <w:div w:id="1129006777">
      <w:bodyDiv w:val="1"/>
      <w:marLeft w:val="0"/>
      <w:marRight w:val="0"/>
      <w:marTop w:val="0"/>
      <w:marBottom w:val="0"/>
      <w:divBdr>
        <w:top w:val="none" w:sz="0" w:space="0" w:color="auto"/>
        <w:left w:val="none" w:sz="0" w:space="0" w:color="auto"/>
        <w:bottom w:val="none" w:sz="0" w:space="0" w:color="auto"/>
        <w:right w:val="none" w:sz="0" w:space="0" w:color="auto"/>
      </w:divBdr>
    </w:div>
    <w:div w:id="1139153688">
      <w:bodyDiv w:val="1"/>
      <w:marLeft w:val="0"/>
      <w:marRight w:val="0"/>
      <w:marTop w:val="0"/>
      <w:marBottom w:val="0"/>
      <w:divBdr>
        <w:top w:val="none" w:sz="0" w:space="0" w:color="auto"/>
        <w:left w:val="none" w:sz="0" w:space="0" w:color="auto"/>
        <w:bottom w:val="none" w:sz="0" w:space="0" w:color="auto"/>
        <w:right w:val="none" w:sz="0" w:space="0" w:color="auto"/>
      </w:divBdr>
    </w:div>
    <w:div w:id="1142232759">
      <w:bodyDiv w:val="1"/>
      <w:marLeft w:val="0"/>
      <w:marRight w:val="0"/>
      <w:marTop w:val="0"/>
      <w:marBottom w:val="0"/>
      <w:divBdr>
        <w:top w:val="none" w:sz="0" w:space="0" w:color="auto"/>
        <w:left w:val="none" w:sz="0" w:space="0" w:color="auto"/>
        <w:bottom w:val="none" w:sz="0" w:space="0" w:color="auto"/>
        <w:right w:val="none" w:sz="0" w:space="0" w:color="auto"/>
      </w:divBdr>
    </w:div>
    <w:div w:id="1161316037">
      <w:bodyDiv w:val="1"/>
      <w:marLeft w:val="0"/>
      <w:marRight w:val="0"/>
      <w:marTop w:val="0"/>
      <w:marBottom w:val="0"/>
      <w:divBdr>
        <w:top w:val="none" w:sz="0" w:space="0" w:color="auto"/>
        <w:left w:val="none" w:sz="0" w:space="0" w:color="auto"/>
        <w:bottom w:val="none" w:sz="0" w:space="0" w:color="auto"/>
        <w:right w:val="none" w:sz="0" w:space="0" w:color="auto"/>
      </w:divBdr>
    </w:div>
    <w:div w:id="1201748901">
      <w:bodyDiv w:val="1"/>
      <w:marLeft w:val="0"/>
      <w:marRight w:val="0"/>
      <w:marTop w:val="0"/>
      <w:marBottom w:val="0"/>
      <w:divBdr>
        <w:top w:val="none" w:sz="0" w:space="0" w:color="auto"/>
        <w:left w:val="none" w:sz="0" w:space="0" w:color="auto"/>
        <w:bottom w:val="none" w:sz="0" w:space="0" w:color="auto"/>
        <w:right w:val="none" w:sz="0" w:space="0" w:color="auto"/>
      </w:divBdr>
    </w:div>
    <w:div w:id="1233394599">
      <w:bodyDiv w:val="1"/>
      <w:marLeft w:val="0"/>
      <w:marRight w:val="0"/>
      <w:marTop w:val="0"/>
      <w:marBottom w:val="0"/>
      <w:divBdr>
        <w:top w:val="none" w:sz="0" w:space="0" w:color="auto"/>
        <w:left w:val="none" w:sz="0" w:space="0" w:color="auto"/>
        <w:bottom w:val="none" w:sz="0" w:space="0" w:color="auto"/>
        <w:right w:val="none" w:sz="0" w:space="0" w:color="auto"/>
      </w:divBdr>
    </w:div>
    <w:div w:id="1244145738">
      <w:bodyDiv w:val="1"/>
      <w:marLeft w:val="0"/>
      <w:marRight w:val="0"/>
      <w:marTop w:val="0"/>
      <w:marBottom w:val="0"/>
      <w:divBdr>
        <w:top w:val="none" w:sz="0" w:space="0" w:color="auto"/>
        <w:left w:val="none" w:sz="0" w:space="0" w:color="auto"/>
        <w:bottom w:val="none" w:sz="0" w:space="0" w:color="auto"/>
        <w:right w:val="none" w:sz="0" w:space="0" w:color="auto"/>
      </w:divBdr>
    </w:div>
    <w:div w:id="1272203294">
      <w:bodyDiv w:val="1"/>
      <w:marLeft w:val="0"/>
      <w:marRight w:val="0"/>
      <w:marTop w:val="0"/>
      <w:marBottom w:val="0"/>
      <w:divBdr>
        <w:top w:val="none" w:sz="0" w:space="0" w:color="auto"/>
        <w:left w:val="none" w:sz="0" w:space="0" w:color="auto"/>
        <w:bottom w:val="none" w:sz="0" w:space="0" w:color="auto"/>
        <w:right w:val="none" w:sz="0" w:space="0" w:color="auto"/>
      </w:divBdr>
    </w:div>
    <w:div w:id="1359231644">
      <w:bodyDiv w:val="1"/>
      <w:marLeft w:val="0"/>
      <w:marRight w:val="0"/>
      <w:marTop w:val="0"/>
      <w:marBottom w:val="0"/>
      <w:divBdr>
        <w:top w:val="none" w:sz="0" w:space="0" w:color="auto"/>
        <w:left w:val="none" w:sz="0" w:space="0" w:color="auto"/>
        <w:bottom w:val="none" w:sz="0" w:space="0" w:color="auto"/>
        <w:right w:val="none" w:sz="0" w:space="0" w:color="auto"/>
      </w:divBdr>
    </w:div>
    <w:div w:id="1366053177">
      <w:bodyDiv w:val="1"/>
      <w:marLeft w:val="0"/>
      <w:marRight w:val="0"/>
      <w:marTop w:val="0"/>
      <w:marBottom w:val="0"/>
      <w:divBdr>
        <w:top w:val="none" w:sz="0" w:space="0" w:color="auto"/>
        <w:left w:val="none" w:sz="0" w:space="0" w:color="auto"/>
        <w:bottom w:val="none" w:sz="0" w:space="0" w:color="auto"/>
        <w:right w:val="none" w:sz="0" w:space="0" w:color="auto"/>
      </w:divBdr>
    </w:div>
    <w:div w:id="1392269134">
      <w:bodyDiv w:val="1"/>
      <w:marLeft w:val="0"/>
      <w:marRight w:val="0"/>
      <w:marTop w:val="0"/>
      <w:marBottom w:val="0"/>
      <w:divBdr>
        <w:top w:val="none" w:sz="0" w:space="0" w:color="auto"/>
        <w:left w:val="none" w:sz="0" w:space="0" w:color="auto"/>
        <w:bottom w:val="none" w:sz="0" w:space="0" w:color="auto"/>
        <w:right w:val="none" w:sz="0" w:space="0" w:color="auto"/>
      </w:divBdr>
    </w:div>
    <w:div w:id="1423069027">
      <w:bodyDiv w:val="1"/>
      <w:marLeft w:val="0"/>
      <w:marRight w:val="0"/>
      <w:marTop w:val="0"/>
      <w:marBottom w:val="0"/>
      <w:divBdr>
        <w:top w:val="none" w:sz="0" w:space="0" w:color="auto"/>
        <w:left w:val="none" w:sz="0" w:space="0" w:color="auto"/>
        <w:bottom w:val="none" w:sz="0" w:space="0" w:color="auto"/>
        <w:right w:val="none" w:sz="0" w:space="0" w:color="auto"/>
      </w:divBdr>
    </w:div>
    <w:div w:id="1447240400">
      <w:bodyDiv w:val="1"/>
      <w:marLeft w:val="0"/>
      <w:marRight w:val="0"/>
      <w:marTop w:val="0"/>
      <w:marBottom w:val="0"/>
      <w:divBdr>
        <w:top w:val="none" w:sz="0" w:space="0" w:color="auto"/>
        <w:left w:val="none" w:sz="0" w:space="0" w:color="auto"/>
        <w:bottom w:val="none" w:sz="0" w:space="0" w:color="auto"/>
        <w:right w:val="none" w:sz="0" w:space="0" w:color="auto"/>
      </w:divBdr>
    </w:div>
    <w:div w:id="1448503301">
      <w:bodyDiv w:val="1"/>
      <w:marLeft w:val="0"/>
      <w:marRight w:val="0"/>
      <w:marTop w:val="0"/>
      <w:marBottom w:val="0"/>
      <w:divBdr>
        <w:top w:val="none" w:sz="0" w:space="0" w:color="auto"/>
        <w:left w:val="none" w:sz="0" w:space="0" w:color="auto"/>
        <w:bottom w:val="none" w:sz="0" w:space="0" w:color="auto"/>
        <w:right w:val="none" w:sz="0" w:space="0" w:color="auto"/>
      </w:divBdr>
    </w:div>
    <w:div w:id="1512989747">
      <w:bodyDiv w:val="1"/>
      <w:marLeft w:val="0"/>
      <w:marRight w:val="0"/>
      <w:marTop w:val="0"/>
      <w:marBottom w:val="0"/>
      <w:divBdr>
        <w:top w:val="none" w:sz="0" w:space="0" w:color="auto"/>
        <w:left w:val="none" w:sz="0" w:space="0" w:color="auto"/>
        <w:bottom w:val="none" w:sz="0" w:space="0" w:color="auto"/>
        <w:right w:val="none" w:sz="0" w:space="0" w:color="auto"/>
      </w:divBdr>
    </w:div>
    <w:div w:id="1534228260">
      <w:bodyDiv w:val="1"/>
      <w:marLeft w:val="0"/>
      <w:marRight w:val="0"/>
      <w:marTop w:val="0"/>
      <w:marBottom w:val="0"/>
      <w:divBdr>
        <w:top w:val="none" w:sz="0" w:space="0" w:color="auto"/>
        <w:left w:val="none" w:sz="0" w:space="0" w:color="auto"/>
        <w:bottom w:val="none" w:sz="0" w:space="0" w:color="auto"/>
        <w:right w:val="none" w:sz="0" w:space="0" w:color="auto"/>
      </w:divBdr>
    </w:div>
    <w:div w:id="1543058818">
      <w:bodyDiv w:val="1"/>
      <w:marLeft w:val="0"/>
      <w:marRight w:val="0"/>
      <w:marTop w:val="0"/>
      <w:marBottom w:val="0"/>
      <w:divBdr>
        <w:top w:val="none" w:sz="0" w:space="0" w:color="auto"/>
        <w:left w:val="none" w:sz="0" w:space="0" w:color="auto"/>
        <w:bottom w:val="none" w:sz="0" w:space="0" w:color="auto"/>
        <w:right w:val="none" w:sz="0" w:space="0" w:color="auto"/>
      </w:divBdr>
    </w:div>
    <w:div w:id="1574857315">
      <w:bodyDiv w:val="1"/>
      <w:marLeft w:val="0"/>
      <w:marRight w:val="0"/>
      <w:marTop w:val="0"/>
      <w:marBottom w:val="0"/>
      <w:divBdr>
        <w:top w:val="none" w:sz="0" w:space="0" w:color="auto"/>
        <w:left w:val="none" w:sz="0" w:space="0" w:color="auto"/>
        <w:bottom w:val="none" w:sz="0" w:space="0" w:color="auto"/>
        <w:right w:val="none" w:sz="0" w:space="0" w:color="auto"/>
      </w:divBdr>
    </w:div>
    <w:div w:id="1593315512">
      <w:bodyDiv w:val="1"/>
      <w:marLeft w:val="0"/>
      <w:marRight w:val="0"/>
      <w:marTop w:val="0"/>
      <w:marBottom w:val="0"/>
      <w:divBdr>
        <w:top w:val="none" w:sz="0" w:space="0" w:color="auto"/>
        <w:left w:val="none" w:sz="0" w:space="0" w:color="auto"/>
        <w:bottom w:val="none" w:sz="0" w:space="0" w:color="auto"/>
        <w:right w:val="none" w:sz="0" w:space="0" w:color="auto"/>
      </w:divBdr>
    </w:div>
    <w:div w:id="1598177455">
      <w:bodyDiv w:val="1"/>
      <w:marLeft w:val="0"/>
      <w:marRight w:val="0"/>
      <w:marTop w:val="0"/>
      <w:marBottom w:val="0"/>
      <w:divBdr>
        <w:top w:val="none" w:sz="0" w:space="0" w:color="auto"/>
        <w:left w:val="none" w:sz="0" w:space="0" w:color="auto"/>
        <w:bottom w:val="none" w:sz="0" w:space="0" w:color="auto"/>
        <w:right w:val="none" w:sz="0" w:space="0" w:color="auto"/>
      </w:divBdr>
    </w:div>
    <w:div w:id="1616785243">
      <w:bodyDiv w:val="1"/>
      <w:marLeft w:val="0"/>
      <w:marRight w:val="0"/>
      <w:marTop w:val="0"/>
      <w:marBottom w:val="0"/>
      <w:divBdr>
        <w:top w:val="none" w:sz="0" w:space="0" w:color="auto"/>
        <w:left w:val="none" w:sz="0" w:space="0" w:color="auto"/>
        <w:bottom w:val="none" w:sz="0" w:space="0" w:color="auto"/>
        <w:right w:val="none" w:sz="0" w:space="0" w:color="auto"/>
      </w:divBdr>
    </w:div>
    <w:div w:id="1633055385">
      <w:bodyDiv w:val="1"/>
      <w:marLeft w:val="0"/>
      <w:marRight w:val="0"/>
      <w:marTop w:val="0"/>
      <w:marBottom w:val="0"/>
      <w:divBdr>
        <w:top w:val="none" w:sz="0" w:space="0" w:color="auto"/>
        <w:left w:val="none" w:sz="0" w:space="0" w:color="auto"/>
        <w:bottom w:val="none" w:sz="0" w:space="0" w:color="auto"/>
        <w:right w:val="none" w:sz="0" w:space="0" w:color="auto"/>
      </w:divBdr>
    </w:div>
    <w:div w:id="1646546220">
      <w:bodyDiv w:val="1"/>
      <w:marLeft w:val="0"/>
      <w:marRight w:val="0"/>
      <w:marTop w:val="0"/>
      <w:marBottom w:val="0"/>
      <w:divBdr>
        <w:top w:val="none" w:sz="0" w:space="0" w:color="auto"/>
        <w:left w:val="none" w:sz="0" w:space="0" w:color="auto"/>
        <w:bottom w:val="none" w:sz="0" w:space="0" w:color="auto"/>
        <w:right w:val="none" w:sz="0" w:space="0" w:color="auto"/>
      </w:divBdr>
      <w:divsChild>
        <w:div w:id="1160123202">
          <w:marLeft w:val="0"/>
          <w:marRight w:val="0"/>
          <w:marTop w:val="0"/>
          <w:marBottom w:val="0"/>
          <w:divBdr>
            <w:top w:val="none" w:sz="0" w:space="0" w:color="auto"/>
            <w:left w:val="none" w:sz="0" w:space="0" w:color="auto"/>
            <w:bottom w:val="none" w:sz="0" w:space="0" w:color="auto"/>
            <w:right w:val="none" w:sz="0" w:space="0" w:color="auto"/>
          </w:divBdr>
        </w:div>
      </w:divsChild>
    </w:div>
    <w:div w:id="1653830158">
      <w:bodyDiv w:val="1"/>
      <w:marLeft w:val="0"/>
      <w:marRight w:val="0"/>
      <w:marTop w:val="0"/>
      <w:marBottom w:val="0"/>
      <w:divBdr>
        <w:top w:val="none" w:sz="0" w:space="0" w:color="auto"/>
        <w:left w:val="none" w:sz="0" w:space="0" w:color="auto"/>
        <w:bottom w:val="none" w:sz="0" w:space="0" w:color="auto"/>
        <w:right w:val="none" w:sz="0" w:space="0" w:color="auto"/>
      </w:divBdr>
    </w:div>
    <w:div w:id="1668945467">
      <w:bodyDiv w:val="1"/>
      <w:marLeft w:val="0"/>
      <w:marRight w:val="0"/>
      <w:marTop w:val="0"/>
      <w:marBottom w:val="0"/>
      <w:divBdr>
        <w:top w:val="none" w:sz="0" w:space="0" w:color="auto"/>
        <w:left w:val="none" w:sz="0" w:space="0" w:color="auto"/>
        <w:bottom w:val="none" w:sz="0" w:space="0" w:color="auto"/>
        <w:right w:val="none" w:sz="0" w:space="0" w:color="auto"/>
      </w:divBdr>
    </w:div>
    <w:div w:id="1675448424">
      <w:bodyDiv w:val="1"/>
      <w:marLeft w:val="0"/>
      <w:marRight w:val="0"/>
      <w:marTop w:val="0"/>
      <w:marBottom w:val="0"/>
      <w:divBdr>
        <w:top w:val="none" w:sz="0" w:space="0" w:color="auto"/>
        <w:left w:val="none" w:sz="0" w:space="0" w:color="auto"/>
        <w:bottom w:val="none" w:sz="0" w:space="0" w:color="auto"/>
        <w:right w:val="none" w:sz="0" w:space="0" w:color="auto"/>
      </w:divBdr>
    </w:div>
    <w:div w:id="1692490772">
      <w:bodyDiv w:val="1"/>
      <w:marLeft w:val="0"/>
      <w:marRight w:val="0"/>
      <w:marTop w:val="0"/>
      <w:marBottom w:val="0"/>
      <w:divBdr>
        <w:top w:val="none" w:sz="0" w:space="0" w:color="auto"/>
        <w:left w:val="none" w:sz="0" w:space="0" w:color="auto"/>
        <w:bottom w:val="none" w:sz="0" w:space="0" w:color="auto"/>
        <w:right w:val="none" w:sz="0" w:space="0" w:color="auto"/>
      </w:divBdr>
    </w:div>
    <w:div w:id="1737893437">
      <w:bodyDiv w:val="1"/>
      <w:marLeft w:val="0"/>
      <w:marRight w:val="0"/>
      <w:marTop w:val="0"/>
      <w:marBottom w:val="0"/>
      <w:divBdr>
        <w:top w:val="none" w:sz="0" w:space="0" w:color="auto"/>
        <w:left w:val="none" w:sz="0" w:space="0" w:color="auto"/>
        <w:bottom w:val="none" w:sz="0" w:space="0" w:color="auto"/>
        <w:right w:val="none" w:sz="0" w:space="0" w:color="auto"/>
      </w:divBdr>
    </w:div>
    <w:div w:id="1745302144">
      <w:bodyDiv w:val="1"/>
      <w:marLeft w:val="0"/>
      <w:marRight w:val="0"/>
      <w:marTop w:val="0"/>
      <w:marBottom w:val="0"/>
      <w:divBdr>
        <w:top w:val="none" w:sz="0" w:space="0" w:color="auto"/>
        <w:left w:val="none" w:sz="0" w:space="0" w:color="auto"/>
        <w:bottom w:val="none" w:sz="0" w:space="0" w:color="auto"/>
        <w:right w:val="none" w:sz="0" w:space="0" w:color="auto"/>
      </w:divBdr>
    </w:div>
    <w:div w:id="1757556205">
      <w:bodyDiv w:val="1"/>
      <w:marLeft w:val="0"/>
      <w:marRight w:val="0"/>
      <w:marTop w:val="0"/>
      <w:marBottom w:val="0"/>
      <w:divBdr>
        <w:top w:val="none" w:sz="0" w:space="0" w:color="auto"/>
        <w:left w:val="none" w:sz="0" w:space="0" w:color="auto"/>
        <w:bottom w:val="none" w:sz="0" w:space="0" w:color="auto"/>
        <w:right w:val="none" w:sz="0" w:space="0" w:color="auto"/>
      </w:divBdr>
      <w:divsChild>
        <w:div w:id="1274049256">
          <w:marLeft w:val="0"/>
          <w:marRight w:val="0"/>
          <w:marTop w:val="0"/>
          <w:marBottom w:val="0"/>
          <w:divBdr>
            <w:top w:val="none" w:sz="0" w:space="0" w:color="auto"/>
            <w:left w:val="none" w:sz="0" w:space="0" w:color="auto"/>
            <w:bottom w:val="none" w:sz="0" w:space="0" w:color="auto"/>
            <w:right w:val="none" w:sz="0" w:space="0" w:color="auto"/>
          </w:divBdr>
        </w:div>
      </w:divsChild>
    </w:div>
    <w:div w:id="1774933022">
      <w:bodyDiv w:val="1"/>
      <w:marLeft w:val="0"/>
      <w:marRight w:val="0"/>
      <w:marTop w:val="0"/>
      <w:marBottom w:val="0"/>
      <w:divBdr>
        <w:top w:val="none" w:sz="0" w:space="0" w:color="auto"/>
        <w:left w:val="none" w:sz="0" w:space="0" w:color="auto"/>
        <w:bottom w:val="none" w:sz="0" w:space="0" w:color="auto"/>
        <w:right w:val="none" w:sz="0" w:space="0" w:color="auto"/>
      </w:divBdr>
    </w:div>
    <w:div w:id="1809974333">
      <w:bodyDiv w:val="1"/>
      <w:marLeft w:val="0"/>
      <w:marRight w:val="0"/>
      <w:marTop w:val="0"/>
      <w:marBottom w:val="0"/>
      <w:divBdr>
        <w:top w:val="none" w:sz="0" w:space="0" w:color="auto"/>
        <w:left w:val="none" w:sz="0" w:space="0" w:color="auto"/>
        <w:bottom w:val="none" w:sz="0" w:space="0" w:color="auto"/>
        <w:right w:val="none" w:sz="0" w:space="0" w:color="auto"/>
      </w:divBdr>
    </w:div>
    <w:div w:id="1820263576">
      <w:bodyDiv w:val="1"/>
      <w:marLeft w:val="0"/>
      <w:marRight w:val="0"/>
      <w:marTop w:val="0"/>
      <w:marBottom w:val="0"/>
      <w:divBdr>
        <w:top w:val="none" w:sz="0" w:space="0" w:color="auto"/>
        <w:left w:val="none" w:sz="0" w:space="0" w:color="auto"/>
        <w:bottom w:val="none" w:sz="0" w:space="0" w:color="auto"/>
        <w:right w:val="none" w:sz="0" w:space="0" w:color="auto"/>
      </w:divBdr>
    </w:div>
    <w:div w:id="1823691785">
      <w:bodyDiv w:val="1"/>
      <w:marLeft w:val="0"/>
      <w:marRight w:val="0"/>
      <w:marTop w:val="0"/>
      <w:marBottom w:val="0"/>
      <w:divBdr>
        <w:top w:val="none" w:sz="0" w:space="0" w:color="auto"/>
        <w:left w:val="none" w:sz="0" w:space="0" w:color="auto"/>
        <w:bottom w:val="none" w:sz="0" w:space="0" w:color="auto"/>
        <w:right w:val="none" w:sz="0" w:space="0" w:color="auto"/>
      </w:divBdr>
    </w:div>
    <w:div w:id="1827744230">
      <w:bodyDiv w:val="1"/>
      <w:marLeft w:val="0"/>
      <w:marRight w:val="0"/>
      <w:marTop w:val="0"/>
      <w:marBottom w:val="0"/>
      <w:divBdr>
        <w:top w:val="none" w:sz="0" w:space="0" w:color="auto"/>
        <w:left w:val="none" w:sz="0" w:space="0" w:color="auto"/>
        <w:bottom w:val="none" w:sz="0" w:space="0" w:color="auto"/>
        <w:right w:val="none" w:sz="0" w:space="0" w:color="auto"/>
      </w:divBdr>
    </w:div>
    <w:div w:id="1841695445">
      <w:bodyDiv w:val="1"/>
      <w:marLeft w:val="0"/>
      <w:marRight w:val="0"/>
      <w:marTop w:val="0"/>
      <w:marBottom w:val="0"/>
      <w:divBdr>
        <w:top w:val="none" w:sz="0" w:space="0" w:color="auto"/>
        <w:left w:val="none" w:sz="0" w:space="0" w:color="auto"/>
        <w:bottom w:val="none" w:sz="0" w:space="0" w:color="auto"/>
        <w:right w:val="none" w:sz="0" w:space="0" w:color="auto"/>
      </w:divBdr>
    </w:div>
    <w:div w:id="1844397738">
      <w:bodyDiv w:val="1"/>
      <w:marLeft w:val="0"/>
      <w:marRight w:val="0"/>
      <w:marTop w:val="0"/>
      <w:marBottom w:val="0"/>
      <w:divBdr>
        <w:top w:val="none" w:sz="0" w:space="0" w:color="auto"/>
        <w:left w:val="none" w:sz="0" w:space="0" w:color="auto"/>
        <w:bottom w:val="none" w:sz="0" w:space="0" w:color="auto"/>
        <w:right w:val="none" w:sz="0" w:space="0" w:color="auto"/>
      </w:divBdr>
    </w:div>
    <w:div w:id="1878735462">
      <w:bodyDiv w:val="1"/>
      <w:marLeft w:val="0"/>
      <w:marRight w:val="0"/>
      <w:marTop w:val="0"/>
      <w:marBottom w:val="0"/>
      <w:divBdr>
        <w:top w:val="none" w:sz="0" w:space="0" w:color="auto"/>
        <w:left w:val="none" w:sz="0" w:space="0" w:color="auto"/>
        <w:bottom w:val="none" w:sz="0" w:space="0" w:color="auto"/>
        <w:right w:val="none" w:sz="0" w:space="0" w:color="auto"/>
      </w:divBdr>
    </w:div>
    <w:div w:id="1883403841">
      <w:bodyDiv w:val="1"/>
      <w:marLeft w:val="0"/>
      <w:marRight w:val="0"/>
      <w:marTop w:val="0"/>
      <w:marBottom w:val="0"/>
      <w:divBdr>
        <w:top w:val="none" w:sz="0" w:space="0" w:color="auto"/>
        <w:left w:val="none" w:sz="0" w:space="0" w:color="auto"/>
        <w:bottom w:val="none" w:sz="0" w:space="0" w:color="auto"/>
        <w:right w:val="none" w:sz="0" w:space="0" w:color="auto"/>
      </w:divBdr>
    </w:div>
    <w:div w:id="1899708582">
      <w:bodyDiv w:val="1"/>
      <w:marLeft w:val="0"/>
      <w:marRight w:val="0"/>
      <w:marTop w:val="0"/>
      <w:marBottom w:val="0"/>
      <w:divBdr>
        <w:top w:val="none" w:sz="0" w:space="0" w:color="auto"/>
        <w:left w:val="none" w:sz="0" w:space="0" w:color="auto"/>
        <w:bottom w:val="none" w:sz="0" w:space="0" w:color="auto"/>
        <w:right w:val="none" w:sz="0" w:space="0" w:color="auto"/>
      </w:divBdr>
    </w:div>
    <w:div w:id="1903786898">
      <w:bodyDiv w:val="1"/>
      <w:marLeft w:val="0"/>
      <w:marRight w:val="0"/>
      <w:marTop w:val="0"/>
      <w:marBottom w:val="0"/>
      <w:divBdr>
        <w:top w:val="none" w:sz="0" w:space="0" w:color="auto"/>
        <w:left w:val="none" w:sz="0" w:space="0" w:color="auto"/>
        <w:bottom w:val="none" w:sz="0" w:space="0" w:color="auto"/>
        <w:right w:val="none" w:sz="0" w:space="0" w:color="auto"/>
      </w:divBdr>
    </w:div>
    <w:div w:id="1953854216">
      <w:bodyDiv w:val="1"/>
      <w:marLeft w:val="0"/>
      <w:marRight w:val="0"/>
      <w:marTop w:val="0"/>
      <w:marBottom w:val="0"/>
      <w:divBdr>
        <w:top w:val="none" w:sz="0" w:space="0" w:color="auto"/>
        <w:left w:val="none" w:sz="0" w:space="0" w:color="auto"/>
        <w:bottom w:val="none" w:sz="0" w:space="0" w:color="auto"/>
        <w:right w:val="none" w:sz="0" w:space="0" w:color="auto"/>
      </w:divBdr>
    </w:div>
    <w:div w:id="1955403057">
      <w:bodyDiv w:val="1"/>
      <w:marLeft w:val="0"/>
      <w:marRight w:val="0"/>
      <w:marTop w:val="0"/>
      <w:marBottom w:val="0"/>
      <w:divBdr>
        <w:top w:val="none" w:sz="0" w:space="0" w:color="auto"/>
        <w:left w:val="none" w:sz="0" w:space="0" w:color="auto"/>
        <w:bottom w:val="none" w:sz="0" w:space="0" w:color="auto"/>
        <w:right w:val="none" w:sz="0" w:space="0" w:color="auto"/>
      </w:divBdr>
    </w:div>
    <w:div w:id="1966501346">
      <w:bodyDiv w:val="1"/>
      <w:marLeft w:val="0"/>
      <w:marRight w:val="0"/>
      <w:marTop w:val="0"/>
      <w:marBottom w:val="0"/>
      <w:divBdr>
        <w:top w:val="none" w:sz="0" w:space="0" w:color="auto"/>
        <w:left w:val="none" w:sz="0" w:space="0" w:color="auto"/>
        <w:bottom w:val="none" w:sz="0" w:space="0" w:color="auto"/>
        <w:right w:val="none" w:sz="0" w:space="0" w:color="auto"/>
      </w:divBdr>
    </w:div>
    <w:div w:id="1975480386">
      <w:bodyDiv w:val="1"/>
      <w:marLeft w:val="0"/>
      <w:marRight w:val="0"/>
      <w:marTop w:val="0"/>
      <w:marBottom w:val="0"/>
      <w:divBdr>
        <w:top w:val="none" w:sz="0" w:space="0" w:color="auto"/>
        <w:left w:val="none" w:sz="0" w:space="0" w:color="auto"/>
        <w:bottom w:val="none" w:sz="0" w:space="0" w:color="auto"/>
        <w:right w:val="none" w:sz="0" w:space="0" w:color="auto"/>
      </w:divBdr>
    </w:div>
    <w:div w:id="1984961364">
      <w:bodyDiv w:val="1"/>
      <w:marLeft w:val="0"/>
      <w:marRight w:val="0"/>
      <w:marTop w:val="0"/>
      <w:marBottom w:val="0"/>
      <w:divBdr>
        <w:top w:val="none" w:sz="0" w:space="0" w:color="auto"/>
        <w:left w:val="none" w:sz="0" w:space="0" w:color="auto"/>
        <w:bottom w:val="none" w:sz="0" w:space="0" w:color="auto"/>
        <w:right w:val="none" w:sz="0" w:space="0" w:color="auto"/>
      </w:divBdr>
    </w:div>
    <w:div w:id="2012679644">
      <w:bodyDiv w:val="1"/>
      <w:marLeft w:val="0"/>
      <w:marRight w:val="0"/>
      <w:marTop w:val="0"/>
      <w:marBottom w:val="0"/>
      <w:divBdr>
        <w:top w:val="none" w:sz="0" w:space="0" w:color="auto"/>
        <w:left w:val="none" w:sz="0" w:space="0" w:color="auto"/>
        <w:bottom w:val="none" w:sz="0" w:space="0" w:color="auto"/>
        <w:right w:val="none" w:sz="0" w:space="0" w:color="auto"/>
      </w:divBdr>
    </w:div>
    <w:div w:id="2039232382">
      <w:bodyDiv w:val="1"/>
      <w:marLeft w:val="0"/>
      <w:marRight w:val="0"/>
      <w:marTop w:val="0"/>
      <w:marBottom w:val="0"/>
      <w:divBdr>
        <w:top w:val="none" w:sz="0" w:space="0" w:color="auto"/>
        <w:left w:val="none" w:sz="0" w:space="0" w:color="auto"/>
        <w:bottom w:val="none" w:sz="0" w:space="0" w:color="auto"/>
        <w:right w:val="none" w:sz="0" w:space="0" w:color="auto"/>
      </w:divBdr>
    </w:div>
    <w:div w:id="2039967789">
      <w:bodyDiv w:val="1"/>
      <w:marLeft w:val="0"/>
      <w:marRight w:val="0"/>
      <w:marTop w:val="0"/>
      <w:marBottom w:val="0"/>
      <w:divBdr>
        <w:top w:val="none" w:sz="0" w:space="0" w:color="auto"/>
        <w:left w:val="none" w:sz="0" w:space="0" w:color="auto"/>
        <w:bottom w:val="none" w:sz="0" w:space="0" w:color="auto"/>
        <w:right w:val="none" w:sz="0" w:space="0" w:color="auto"/>
      </w:divBdr>
    </w:div>
    <w:div w:id="2062631407">
      <w:bodyDiv w:val="1"/>
      <w:marLeft w:val="0"/>
      <w:marRight w:val="0"/>
      <w:marTop w:val="0"/>
      <w:marBottom w:val="0"/>
      <w:divBdr>
        <w:top w:val="none" w:sz="0" w:space="0" w:color="auto"/>
        <w:left w:val="none" w:sz="0" w:space="0" w:color="auto"/>
        <w:bottom w:val="none" w:sz="0" w:space="0" w:color="auto"/>
        <w:right w:val="none" w:sz="0" w:space="0" w:color="auto"/>
      </w:divBdr>
    </w:div>
    <w:div w:id="2081517944">
      <w:bodyDiv w:val="1"/>
      <w:marLeft w:val="0"/>
      <w:marRight w:val="0"/>
      <w:marTop w:val="0"/>
      <w:marBottom w:val="0"/>
      <w:divBdr>
        <w:top w:val="none" w:sz="0" w:space="0" w:color="auto"/>
        <w:left w:val="none" w:sz="0" w:space="0" w:color="auto"/>
        <w:bottom w:val="none" w:sz="0" w:space="0" w:color="auto"/>
        <w:right w:val="none" w:sz="0" w:space="0" w:color="auto"/>
      </w:divBdr>
    </w:div>
    <w:div w:id="2094931469">
      <w:bodyDiv w:val="1"/>
      <w:marLeft w:val="0"/>
      <w:marRight w:val="0"/>
      <w:marTop w:val="0"/>
      <w:marBottom w:val="0"/>
      <w:divBdr>
        <w:top w:val="none" w:sz="0" w:space="0" w:color="auto"/>
        <w:left w:val="none" w:sz="0" w:space="0" w:color="auto"/>
        <w:bottom w:val="none" w:sz="0" w:space="0" w:color="auto"/>
        <w:right w:val="none" w:sz="0" w:space="0" w:color="auto"/>
      </w:divBdr>
    </w:div>
    <w:div w:id="2103067254">
      <w:bodyDiv w:val="1"/>
      <w:marLeft w:val="0"/>
      <w:marRight w:val="0"/>
      <w:marTop w:val="0"/>
      <w:marBottom w:val="0"/>
      <w:divBdr>
        <w:top w:val="none" w:sz="0" w:space="0" w:color="auto"/>
        <w:left w:val="none" w:sz="0" w:space="0" w:color="auto"/>
        <w:bottom w:val="none" w:sz="0" w:space="0" w:color="auto"/>
        <w:right w:val="none" w:sz="0" w:space="0" w:color="auto"/>
      </w:divBdr>
    </w:div>
    <w:div w:id="2116898390">
      <w:bodyDiv w:val="1"/>
      <w:marLeft w:val="0"/>
      <w:marRight w:val="0"/>
      <w:marTop w:val="0"/>
      <w:marBottom w:val="0"/>
      <w:divBdr>
        <w:top w:val="none" w:sz="0" w:space="0" w:color="auto"/>
        <w:left w:val="none" w:sz="0" w:space="0" w:color="auto"/>
        <w:bottom w:val="none" w:sz="0" w:space="0" w:color="auto"/>
        <w:right w:val="none" w:sz="0" w:space="0" w:color="auto"/>
      </w:divBdr>
    </w:div>
    <w:div w:id="2126188779">
      <w:bodyDiv w:val="1"/>
      <w:marLeft w:val="0"/>
      <w:marRight w:val="0"/>
      <w:marTop w:val="0"/>
      <w:marBottom w:val="0"/>
      <w:divBdr>
        <w:top w:val="none" w:sz="0" w:space="0" w:color="auto"/>
        <w:left w:val="none" w:sz="0" w:space="0" w:color="auto"/>
        <w:bottom w:val="none" w:sz="0" w:space="0" w:color="auto"/>
        <w:right w:val="none" w:sz="0" w:space="0" w:color="auto"/>
      </w:divBdr>
    </w:div>
    <w:div w:id="213058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e%20Bori&#263;\Documents\Desktop\ZakonTemplate.dot"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FC7AF-5C1A-49C3-90CC-D921A5DE7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ZakonTemplate</Template>
  <TotalTime>7</TotalTime>
  <Pages>70</Pages>
  <Words>45322</Words>
  <Characters>258341</Characters>
  <Application>Microsoft Office Word</Application>
  <DocSecurity>0</DocSecurity>
  <Lines>2152</Lines>
  <Paragraphs>606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 Borić</dc:creator>
  <cp:keywords>Zakon.hr</cp:keywords>
  <dc:description/>
  <cp:lastModifiedBy>Ante Boric</cp:lastModifiedBy>
  <cp:revision>4</cp:revision>
  <dcterms:created xsi:type="dcterms:W3CDTF">2026-01-13T02:16:00Z</dcterms:created>
  <dcterms:modified xsi:type="dcterms:W3CDTF">2026-01-13T02:22:00Z</dcterms:modified>
</cp:coreProperties>
</file>